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830" w:rsidRDefault="00DE17C2" w:rsidP="00F10E17">
      <w:pPr>
        <w:pStyle w:val="Textoindependiente"/>
        <w:spacing w:before="0" w:after="0"/>
        <w:jc w:val="center"/>
        <w:rPr>
          <w:rFonts w:ascii="Arial" w:hAnsi="Arial"/>
          <w:b/>
          <w:sz w:val="20"/>
          <w:szCs w:val="20"/>
        </w:rPr>
      </w:pPr>
      <w:r>
        <w:rPr>
          <w:rFonts w:ascii="Arial" w:hAnsi="Arial"/>
          <w:b/>
          <w:sz w:val="20"/>
          <w:szCs w:val="20"/>
        </w:rPr>
        <w:t>L</w:t>
      </w:r>
      <w:r w:rsidR="004A292E">
        <w:rPr>
          <w:rFonts w:ascii="Arial" w:hAnsi="Arial"/>
          <w:b/>
          <w:sz w:val="20"/>
          <w:szCs w:val="20"/>
        </w:rPr>
        <w:t xml:space="preserve">a estructura </w:t>
      </w:r>
      <w:r>
        <w:rPr>
          <w:rFonts w:ascii="Arial" w:hAnsi="Arial"/>
          <w:b/>
          <w:sz w:val="20"/>
          <w:szCs w:val="20"/>
        </w:rPr>
        <w:t>de capital</w:t>
      </w:r>
      <w:r w:rsidR="004A292E">
        <w:rPr>
          <w:rFonts w:ascii="Arial" w:hAnsi="Arial"/>
          <w:b/>
          <w:sz w:val="20"/>
          <w:szCs w:val="20"/>
        </w:rPr>
        <w:t xml:space="preserve"> de las</w:t>
      </w:r>
      <w:r w:rsidR="004A292E" w:rsidRPr="004A292E">
        <w:rPr>
          <w:rFonts w:ascii="Arial" w:hAnsi="Arial"/>
          <w:b/>
          <w:sz w:val="20"/>
          <w:szCs w:val="20"/>
        </w:rPr>
        <w:t xml:space="preserve"> </w:t>
      </w:r>
      <w:r w:rsidR="004A292E" w:rsidRPr="00F10E17">
        <w:rPr>
          <w:rFonts w:ascii="Arial" w:hAnsi="Arial"/>
          <w:b/>
          <w:sz w:val="20"/>
          <w:szCs w:val="20"/>
        </w:rPr>
        <w:t>sociedades cooperativas agrarias españolas</w:t>
      </w:r>
      <w:r w:rsidR="004A292E">
        <w:rPr>
          <w:rFonts w:ascii="Arial" w:hAnsi="Arial"/>
          <w:b/>
          <w:sz w:val="20"/>
          <w:szCs w:val="20"/>
        </w:rPr>
        <w:t xml:space="preserve"> </w:t>
      </w:r>
      <w:r>
        <w:rPr>
          <w:rFonts w:ascii="Arial" w:hAnsi="Arial"/>
          <w:b/>
          <w:sz w:val="20"/>
          <w:szCs w:val="20"/>
        </w:rPr>
        <w:t xml:space="preserve">bajo el prisma de las teorías financieras </w:t>
      </w:r>
    </w:p>
    <w:p w:rsidR="00F10E17" w:rsidRPr="00F10E17" w:rsidRDefault="00F10E17" w:rsidP="00F10E17">
      <w:pPr>
        <w:pStyle w:val="Textoindependiente"/>
        <w:spacing w:before="0" w:after="0"/>
        <w:jc w:val="center"/>
        <w:rPr>
          <w:rFonts w:ascii="Arial" w:hAnsi="Arial"/>
          <w:b/>
          <w:sz w:val="20"/>
          <w:szCs w:val="20"/>
        </w:rPr>
      </w:pPr>
    </w:p>
    <w:p w:rsidR="00915830" w:rsidRPr="00470A2D" w:rsidRDefault="00915830" w:rsidP="00F10E17">
      <w:pPr>
        <w:pStyle w:val="Textoindependiente"/>
        <w:spacing w:before="0" w:after="0"/>
        <w:jc w:val="center"/>
        <w:rPr>
          <w:rFonts w:ascii="Arial" w:hAnsi="Arial"/>
          <w:b/>
          <w:sz w:val="20"/>
          <w:szCs w:val="20"/>
          <w:lang w:val="pt-PT"/>
        </w:rPr>
      </w:pPr>
      <w:r w:rsidRPr="00470A2D">
        <w:rPr>
          <w:rFonts w:ascii="Arial" w:hAnsi="Arial"/>
          <w:b/>
          <w:sz w:val="20"/>
          <w:szCs w:val="20"/>
          <w:lang w:val="pt-PT"/>
        </w:rPr>
        <w:t>Alicia Mateos-Ronco; Natalia Lajara-Camilleri</w:t>
      </w:r>
    </w:p>
    <w:p w:rsidR="00F10E17" w:rsidRPr="00470A2D" w:rsidRDefault="00F10E17" w:rsidP="00F10E17">
      <w:pPr>
        <w:pStyle w:val="Textoindependiente"/>
        <w:spacing w:before="0" w:after="0"/>
        <w:jc w:val="center"/>
        <w:rPr>
          <w:rFonts w:ascii="Arial" w:hAnsi="Arial"/>
          <w:b/>
          <w:sz w:val="20"/>
          <w:szCs w:val="20"/>
          <w:lang w:val="pt-PT"/>
        </w:rPr>
      </w:pPr>
      <w:bookmarkStart w:id="0" w:name="_GoBack"/>
      <w:bookmarkEnd w:id="0"/>
    </w:p>
    <w:p w:rsidR="005D1126" w:rsidRPr="00470A2D" w:rsidRDefault="00D13BAB" w:rsidP="005D1126">
      <w:pPr>
        <w:pStyle w:val="Textoindependiente"/>
        <w:spacing w:before="0" w:after="0"/>
        <w:jc w:val="center"/>
        <w:rPr>
          <w:rFonts w:ascii="Arial" w:hAnsi="Arial"/>
          <w:sz w:val="20"/>
          <w:szCs w:val="20"/>
          <w:lang w:val="pt-PT"/>
        </w:rPr>
      </w:pPr>
      <w:hyperlink r:id="rId8" w:history="1">
        <w:r w:rsidR="005D1126" w:rsidRPr="00470A2D">
          <w:rPr>
            <w:rStyle w:val="Hipervnculo"/>
            <w:rFonts w:ascii="Arial" w:hAnsi="Arial"/>
            <w:sz w:val="20"/>
            <w:szCs w:val="20"/>
            <w:lang w:val="pt-PT"/>
          </w:rPr>
          <w:t>amateos@cegea.upv.es</w:t>
        </w:r>
      </w:hyperlink>
      <w:r w:rsidR="005D1126" w:rsidRPr="00470A2D">
        <w:rPr>
          <w:rFonts w:ascii="Arial" w:hAnsi="Arial"/>
          <w:sz w:val="20"/>
          <w:szCs w:val="20"/>
          <w:lang w:val="pt-PT"/>
        </w:rPr>
        <w:t xml:space="preserve">; </w:t>
      </w:r>
      <w:hyperlink r:id="rId9" w:history="1">
        <w:r w:rsidR="005D1126" w:rsidRPr="00470A2D">
          <w:rPr>
            <w:rStyle w:val="Hipervnculo"/>
            <w:rFonts w:ascii="Arial" w:hAnsi="Arial"/>
            <w:sz w:val="20"/>
            <w:szCs w:val="20"/>
            <w:lang w:val="pt-PT"/>
          </w:rPr>
          <w:t>nalade@cegea.upv.es</w:t>
        </w:r>
      </w:hyperlink>
    </w:p>
    <w:p w:rsidR="00915830" w:rsidRPr="00F10E17" w:rsidRDefault="00915830" w:rsidP="00F10E17">
      <w:pPr>
        <w:pStyle w:val="Textoindependiente"/>
        <w:spacing w:before="0" w:after="0"/>
        <w:jc w:val="center"/>
        <w:rPr>
          <w:rFonts w:ascii="Arial" w:hAnsi="Arial"/>
          <w:sz w:val="20"/>
          <w:szCs w:val="20"/>
        </w:rPr>
      </w:pPr>
      <w:r w:rsidRPr="00F10E17">
        <w:rPr>
          <w:rFonts w:ascii="Arial" w:hAnsi="Arial"/>
          <w:sz w:val="20"/>
          <w:szCs w:val="20"/>
        </w:rPr>
        <w:t>Centro de Investigación en Gestión de Empresas (CEGEA)</w:t>
      </w:r>
    </w:p>
    <w:p w:rsidR="00915830" w:rsidRDefault="00915830" w:rsidP="00F10E17">
      <w:pPr>
        <w:pStyle w:val="Textoindependiente"/>
        <w:spacing w:before="0" w:after="0"/>
        <w:jc w:val="center"/>
        <w:rPr>
          <w:rFonts w:ascii="Arial" w:hAnsi="Arial"/>
          <w:sz w:val="20"/>
          <w:szCs w:val="20"/>
        </w:rPr>
      </w:pPr>
      <w:r w:rsidRPr="00F10E17">
        <w:rPr>
          <w:rFonts w:ascii="Arial" w:hAnsi="Arial"/>
          <w:sz w:val="20"/>
          <w:szCs w:val="20"/>
        </w:rPr>
        <w:t>Universi</w:t>
      </w:r>
      <w:r w:rsidR="00470A2D">
        <w:rPr>
          <w:rFonts w:ascii="Arial" w:hAnsi="Arial"/>
          <w:sz w:val="20"/>
          <w:szCs w:val="20"/>
        </w:rPr>
        <w:t xml:space="preserve">tat Politècnica de </w:t>
      </w:r>
      <w:proofErr w:type="spellStart"/>
      <w:r w:rsidR="00470A2D">
        <w:rPr>
          <w:rFonts w:ascii="Arial" w:hAnsi="Arial"/>
          <w:sz w:val="20"/>
          <w:szCs w:val="20"/>
        </w:rPr>
        <w:t>Valè</w:t>
      </w:r>
      <w:r w:rsidRPr="00F10E17">
        <w:rPr>
          <w:rFonts w:ascii="Arial" w:hAnsi="Arial"/>
          <w:sz w:val="20"/>
          <w:szCs w:val="20"/>
        </w:rPr>
        <w:t>ncia</w:t>
      </w:r>
      <w:proofErr w:type="spellEnd"/>
      <w:r w:rsidRPr="00F10E17">
        <w:rPr>
          <w:rFonts w:ascii="Arial" w:hAnsi="Arial"/>
          <w:sz w:val="20"/>
          <w:szCs w:val="20"/>
        </w:rPr>
        <w:t xml:space="preserve"> (</w:t>
      </w:r>
      <w:proofErr w:type="spellStart"/>
      <w:r w:rsidRPr="00F10E17">
        <w:rPr>
          <w:rFonts w:ascii="Arial" w:hAnsi="Arial"/>
          <w:sz w:val="20"/>
          <w:szCs w:val="20"/>
        </w:rPr>
        <w:t>Spain</w:t>
      </w:r>
      <w:proofErr w:type="spellEnd"/>
      <w:r w:rsidRPr="00F10E17">
        <w:rPr>
          <w:rFonts w:ascii="Arial" w:hAnsi="Arial"/>
          <w:sz w:val="20"/>
          <w:szCs w:val="20"/>
        </w:rPr>
        <w:t>)</w:t>
      </w:r>
    </w:p>
    <w:p w:rsidR="00234504" w:rsidRDefault="00234504" w:rsidP="00F10E17">
      <w:pPr>
        <w:pStyle w:val="Textoindependiente"/>
        <w:spacing w:before="0" w:after="0"/>
        <w:jc w:val="center"/>
        <w:rPr>
          <w:rFonts w:ascii="Arial" w:hAnsi="Arial"/>
          <w:sz w:val="20"/>
          <w:szCs w:val="20"/>
        </w:rPr>
      </w:pPr>
    </w:p>
    <w:p w:rsidR="00B67BDF" w:rsidRDefault="00B67BDF" w:rsidP="00234504">
      <w:pPr>
        <w:pStyle w:val="Textoindependiente"/>
        <w:spacing w:before="0" w:after="0"/>
        <w:rPr>
          <w:rFonts w:ascii="Arial" w:hAnsi="Arial"/>
          <w:b/>
          <w:sz w:val="20"/>
          <w:szCs w:val="20"/>
        </w:rPr>
      </w:pPr>
    </w:p>
    <w:p w:rsidR="00234504" w:rsidRDefault="00234504" w:rsidP="00234504">
      <w:pPr>
        <w:pStyle w:val="Textoindependiente"/>
        <w:spacing w:before="0" w:after="0"/>
        <w:rPr>
          <w:rFonts w:ascii="Arial" w:hAnsi="Arial"/>
          <w:b/>
          <w:sz w:val="20"/>
          <w:szCs w:val="20"/>
        </w:rPr>
      </w:pPr>
      <w:r w:rsidRPr="00234504">
        <w:rPr>
          <w:rFonts w:ascii="Arial" w:hAnsi="Arial"/>
          <w:b/>
          <w:sz w:val="20"/>
          <w:szCs w:val="20"/>
        </w:rPr>
        <w:t>Resumen</w:t>
      </w:r>
    </w:p>
    <w:p w:rsidR="00234504" w:rsidRDefault="00234504" w:rsidP="00234504">
      <w:pPr>
        <w:pStyle w:val="Textoindependiente"/>
        <w:spacing w:before="0" w:after="0"/>
        <w:rPr>
          <w:rFonts w:ascii="Arial" w:hAnsi="Arial"/>
          <w:b/>
          <w:sz w:val="20"/>
          <w:szCs w:val="20"/>
        </w:rPr>
      </w:pPr>
    </w:p>
    <w:p w:rsidR="00493802" w:rsidRDefault="00493802" w:rsidP="00493802">
      <w:pPr>
        <w:pStyle w:val="Textoindependiente"/>
        <w:spacing w:before="0" w:after="0"/>
        <w:rPr>
          <w:rFonts w:ascii="Arial" w:hAnsi="Arial"/>
          <w:sz w:val="20"/>
          <w:szCs w:val="20"/>
        </w:rPr>
      </w:pPr>
      <w:r w:rsidRPr="00F10E17">
        <w:rPr>
          <w:rFonts w:ascii="Arial" w:hAnsi="Arial"/>
          <w:sz w:val="20"/>
          <w:szCs w:val="20"/>
        </w:rPr>
        <w:t>El estudio de la estructura financiera constituye una línea compleja y recurrente de investigación en el ámbito</w:t>
      </w:r>
      <w:r>
        <w:rPr>
          <w:rFonts w:ascii="Arial" w:hAnsi="Arial"/>
          <w:sz w:val="20"/>
          <w:szCs w:val="20"/>
        </w:rPr>
        <w:t xml:space="preserve"> de las finanzas empresariales. </w:t>
      </w:r>
      <w:r w:rsidRPr="00F10E17">
        <w:rPr>
          <w:rFonts w:ascii="Arial" w:hAnsi="Arial"/>
          <w:sz w:val="20"/>
          <w:szCs w:val="20"/>
        </w:rPr>
        <w:t>Incrementar el conocimiento de la estru</w:t>
      </w:r>
      <w:r>
        <w:rPr>
          <w:rFonts w:ascii="Arial" w:hAnsi="Arial"/>
          <w:sz w:val="20"/>
          <w:szCs w:val="20"/>
        </w:rPr>
        <w:t>ctura financiera</w:t>
      </w:r>
      <w:r w:rsidRPr="00F10E17">
        <w:rPr>
          <w:rFonts w:ascii="Arial" w:hAnsi="Arial"/>
          <w:sz w:val="20"/>
          <w:szCs w:val="20"/>
        </w:rPr>
        <w:t xml:space="preserve"> y sus implicaciones sobre la gestión empresarial constituye el punto de partida para mejorar las condiciones de acceso a la financiación ajena y disminuir costes de transacción, así como para optimizar las políticas internas de</w:t>
      </w:r>
      <w:r>
        <w:rPr>
          <w:rFonts w:ascii="Arial" w:hAnsi="Arial"/>
          <w:sz w:val="20"/>
          <w:szCs w:val="20"/>
        </w:rPr>
        <w:t xml:space="preserve"> financiación</w:t>
      </w:r>
      <w:r w:rsidRPr="00F10E17">
        <w:rPr>
          <w:rFonts w:ascii="Arial" w:hAnsi="Arial"/>
          <w:sz w:val="20"/>
          <w:szCs w:val="20"/>
        </w:rPr>
        <w:t xml:space="preserve">. </w:t>
      </w:r>
    </w:p>
    <w:p w:rsidR="00493802" w:rsidRDefault="00493802" w:rsidP="00493802">
      <w:pPr>
        <w:pStyle w:val="Textoindependiente"/>
        <w:spacing w:before="0" w:after="0"/>
        <w:rPr>
          <w:rFonts w:ascii="Arial" w:hAnsi="Arial"/>
          <w:sz w:val="20"/>
          <w:szCs w:val="20"/>
        </w:rPr>
      </w:pPr>
      <w:r w:rsidRPr="00F10E17">
        <w:rPr>
          <w:rFonts w:ascii="Arial" w:hAnsi="Arial"/>
          <w:sz w:val="20"/>
          <w:szCs w:val="20"/>
        </w:rPr>
        <w:t>No existe una teoría universal sobre la estructura financ</w:t>
      </w:r>
      <w:r w:rsidR="000201A7">
        <w:rPr>
          <w:rFonts w:ascii="Arial" w:hAnsi="Arial"/>
          <w:sz w:val="20"/>
          <w:szCs w:val="20"/>
        </w:rPr>
        <w:t>iera en la empresa</w:t>
      </w:r>
      <w:r w:rsidRPr="00F10E17">
        <w:rPr>
          <w:rFonts w:ascii="Arial" w:hAnsi="Arial"/>
          <w:sz w:val="20"/>
          <w:szCs w:val="20"/>
        </w:rPr>
        <w:t xml:space="preserve"> aunque sí teorías parciales formuladas a raíz de trabajos empíricos que tratan de relacionar dicha estructura con difere</w:t>
      </w:r>
      <w:r w:rsidR="000201A7">
        <w:rPr>
          <w:rFonts w:ascii="Arial" w:hAnsi="Arial"/>
          <w:sz w:val="20"/>
          <w:szCs w:val="20"/>
        </w:rPr>
        <w:t>ntes variables</w:t>
      </w:r>
      <w:r w:rsidRPr="00F10E17">
        <w:rPr>
          <w:rFonts w:ascii="Arial" w:hAnsi="Arial"/>
          <w:sz w:val="20"/>
          <w:szCs w:val="20"/>
        </w:rPr>
        <w:t>.</w:t>
      </w:r>
      <w:r w:rsidR="000201A7">
        <w:rPr>
          <w:rFonts w:ascii="Arial" w:hAnsi="Arial"/>
          <w:sz w:val="20"/>
          <w:szCs w:val="20"/>
        </w:rPr>
        <w:t xml:space="preserve"> Sin embargo</w:t>
      </w:r>
      <w:r w:rsidRPr="00F10E17">
        <w:rPr>
          <w:rFonts w:ascii="Arial" w:hAnsi="Arial"/>
          <w:sz w:val="20"/>
          <w:szCs w:val="20"/>
        </w:rPr>
        <w:t>, a nivel microeconómico, las repercusiones de los diferentes tipos de financiación podrían variar según l</w:t>
      </w:r>
      <w:r>
        <w:rPr>
          <w:rFonts w:ascii="Arial" w:hAnsi="Arial"/>
          <w:sz w:val="20"/>
          <w:szCs w:val="20"/>
        </w:rPr>
        <w:t>a situación económica o la tipología</w:t>
      </w:r>
      <w:r w:rsidRPr="00F10E17">
        <w:rPr>
          <w:rFonts w:ascii="Arial" w:hAnsi="Arial"/>
          <w:sz w:val="20"/>
          <w:szCs w:val="20"/>
        </w:rPr>
        <w:t xml:space="preserve"> de empresa.</w:t>
      </w:r>
    </w:p>
    <w:p w:rsidR="000201A7" w:rsidRDefault="00493802" w:rsidP="00493802">
      <w:pPr>
        <w:pStyle w:val="Textoindependiente"/>
        <w:spacing w:before="0" w:after="0"/>
        <w:rPr>
          <w:rFonts w:ascii="Arial" w:hAnsi="Arial"/>
          <w:sz w:val="20"/>
          <w:szCs w:val="20"/>
        </w:rPr>
      </w:pPr>
      <w:r w:rsidRPr="00F10E17">
        <w:rPr>
          <w:rFonts w:ascii="Arial" w:hAnsi="Arial"/>
          <w:sz w:val="20"/>
          <w:szCs w:val="20"/>
        </w:rPr>
        <w:t>Si bien la teoría financiera se ha basado tradicionalmente en utilizar variables internas de las propias empresas como explicativas o determinantes de su estructu</w:t>
      </w:r>
      <w:r w:rsidR="000201A7">
        <w:rPr>
          <w:rFonts w:ascii="Arial" w:hAnsi="Arial"/>
          <w:sz w:val="20"/>
          <w:szCs w:val="20"/>
        </w:rPr>
        <w:t xml:space="preserve">ra financiera, </w:t>
      </w:r>
      <w:r w:rsidRPr="00F10E17">
        <w:rPr>
          <w:rFonts w:ascii="Arial" w:hAnsi="Arial"/>
          <w:sz w:val="20"/>
          <w:szCs w:val="20"/>
        </w:rPr>
        <w:t>la evidencia empírica revela que dicha estructura varía en el tiempo como consecuencia de las condiciones macroeconómicas del entorno en que se hallen inm</w:t>
      </w:r>
      <w:r w:rsidR="000201A7">
        <w:rPr>
          <w:rFonts w:ascii="Arial" w:hAnsi="Arial"/>
          <w:sz w:val="20"/>
          <w:szCs w:val="20"/>
        </w:rPr>
        <w:t>ersas.</w:t>
      </w:r>
    </w:p>
    <w:p w:rsidR="00493802" w:rsidRDefault="00493802" w:rsidP="00234504">
      <w:pPr>
        <w:pStyle w:val="Textoindependiente"/>
        <w:spacing w:before="0" w:after="0"/>
        <w:rPr>
          <w:rFonts w:ascii="Arial" w:hAnsi="Arial"/>
          <w:sz w:val="20"/>
          <w:szCs w:val="20"/>
        </w:rPr>
      </w:pPr>
      <w:r>
        <w:rPr>
          <w:rFonts w:ascii="Arial" w:hAnsi="Arial"/>
          <w:sz w:val="20"/>
          <w:szCs w:val="20"/>
        </w:rPr>
        <w:t>El presente trabajo aporta</w:t>
      </w:r>
      <w:r w:rsidRPr="00F10E17">
        <w:rPr>
          <w:rFonts w:ascii="Arial" w:hAnsi="Arial"/>
          <w:sz w:val="20"/>
          <w:szCs w:val="20"/>
        </w:rPr>
        <w:t xml:space="preserve"> evidencia empírica sobre la estructura financiera de las sociedades cooperativas en España y su posible relación con diversas variables</w:t>
      </w:r>
      <w:r>
        <w:rPr>
          <w:rFonts w:ascii="Arial" w:hAnsi="Arial"/>
          <w:sz w:val="20"/>
          <w:szCs w:val="20"/>
        </w:rPr>
        <w:t xml:space="preserve"> a través de un modelo de regresión</w:t>
      </w:r>
      <w:r w:rsidRPr="00F10E17">
        <w:rPr>
          <w:rFonts w:ascii="Arial" w:hAnsi="Arial"/>
          <w:sz w:val="20"/>
          <w:szCs w:val="20"/>
        </w:rPr>
        <w:t>, part</w:t>
      </w:r>
      <w:r>
        <w:rPr>
          <w:rFonts w:ascii="Arial" w:hAnsi="Arial"/>
          <w:sz w:val="20"/>
          <w:szCs w:val="20"/>
        </w:rPr>
        <w:t xml:space="preserve">icularizando </w:t>
      </w:r>
      <w:r w:rsidRPr="00F10E17">
        <w:rPr>
          <w:rFonts w:ascii="Arial" w:hAnsi="Arial"/>
          <w:sz w:val="20"/>
          <w:szCs w:val="20"/>
        </w:rPr>
        <w:t>e</w:t>
      </w:r>
      <w:r>
        <w:rPr>
          <w:rFonts w:ascii="Arial" w:hAnsi="Arial"/>
          <w:sz w:val="20"/>
          <w:szCs w:val="20"/>
        </w:rPr>
        <w:t>l</w:t>
      </w:r>
      <w:r w:rsidRPr="00F10E17">
        <w:rPr>
          <w:rFonts w:ascii="Arial" w:hAnsi="Arial"/>
          <w:sz w:val="20"/>
          <w:szCs w:val="20"/>
        </w:rPr>
        <w:t xml:space="preserve"> estudio a las entidades cooperativas agrarias.</w:t>
      </w:r>
    </w:p>
    <w:p w:rsidR="00493802" w:rsidRPr="00234504" w:rsidRDefault="00493802" w:rsidP="00234504">
      <w:pPr>
        <w:pStyle w:val="Textoindependiente"/>
        <w:spacing w:before="0" w:after="0"/>
        <w:rPr>
          <w:rFonts w:ascii="Arial" w:hAnsi="Arial"/>
          <w:b/>
          <w:sz w:val="20"/>
          <w:szCs w:val="20"/>
        </w:rPr>
      </w:pPr>
      <w:r>
        <w:rPr>
          <w:rFonts w:ascii="Arial" w:hAnsi="Arial"/>
          <w:sz w:val="20"/>
          <w:szCs w:val="20"/>
        </w:rPr>
        <w:t xml:space="preserve">La utilización de </w:t>
      </w:r>
      <w:r w:rsidR="000201A7">
        <w:rPr>
          <w:rFonts w:ascii="Arial" w:hAnsi="Arial"/>
          <w:sz w:val="20"/>
          <w:szCs w:val="20"/>
        </w:rPr>
        <w:t xml:space="preserve">datos contables </w:t>
      </w:r>
      <w:r>
        <w:rPr>
          <w:rFonts w:ascii="Arial" w:hAnsi="Arial"/>
          <w:sz w:val="20"/>
          <w:szCs w:val="20"/>
        </w:rPr>
        <w:t xml:space="preserve">en distintos horizontes temporales permite </w:t>
      </w:r>
      <w:r w:rsidR="000201A7" w:rsidRPr="00F10E17">
        <w:rPr>
          <w:rFonts w:ascii="Arial" w:hAnsi="Arial"/>
          <w:sz w:val="20"/>
          <w:szCs w:val="20"/>
        </w:rPr>
        <w:t>analizar el efecto de las condicione</w:t>
      </w:r>
      <w:r w:rsidR="000201A7">
        <w:rPr>
          <w:rFonts w:ascii="Arial" w:hAnsi="Arial"/>
          <w:sz w:val="20"/>
          <w:szCs w:val="20"/>
        </w:rPr>
        <w:t xml:space="preserve">s macroeconómicas </w:t>
      </w:r>
      <w:r w:rsidRPr="00F10E17">
        <w:rPr>
          <w:rFonts w:ascii="Arial" w:hAnsi="Arial"/>
          <w:sz w:val="20"/>
          <w:szCs w:val="20"/>
        </w:rPr>
        <w:t>y las restricciones financieras sobre los determinantes de la estructura de capital de estas entidades.</w:t>
      </w:r>
    </w:p>
    <w:p w:rsidR="00234504" w:rsidRDefault="00234504" w:rsidP="00234504">
      <w:pPr>
        <w:pStyle w:val="Textoindependiente"/>
        <w:spacing w:before="0" w:after="0"/>
        <w:rPr>
          <w:rFonts w:ascii="Arial" w:hAnsi="Arial"/>
          <w:sz w:val="20"/>
          <w:szCs w:val="20"/>
        </w:rPr>
      </w:pPr>
    </w:p>
    <w:p w:rsidR="00234504" w:rsidRPr="00F10E17" w:rsidRDefault="00234504" w:rsidP="00234504">
      <w:pPr>
        <w:pStyle w:val="Textoindependiente"/>
        <w:spacing w:before="0" w:after="0"/>
        <w:rPr>
          <w:rFonts w:ascii="Arial" w:hAnsi="Arial"/>
          <w:sz w:val="20"/>
          <w:szCs w:val="20"/>
        </w:rPr>
      </w:pPr>
      <w:r w:rsidRPr="00F10E17">
        <w:rPr>
          <w:rFonts w:ascii="Arial" w:hAnsi="Arial"/>
          <w:b/>
          <w:sz w:val="20"/>
          <w:szCs w:val="20"/>
        </w:rPr>
        <w:t xml:space="preserve">Palabras clave: </w:t>
      </w:r>
      <w:r w:rsidRPr="00F10E17">
        <w:rPr>
          <w:rFonts w:ascii="Arial" w:hAnsi="Arial"/>
          <w:sz w:val="20"/>
          <w:szCs w:val="20"/>
        </w:rPr>
        <w:t>cooperativas agrarias; estructura de capital; endeudamiento; condiciones macroeconómicas; regresión.</w:t>
      </w:r>
    </w:p>
    <w:p w:rsidR="00234504" w:rsidRPr="00F10E17" w:rsidRDefault="00234504" w:rsidP="00234504">
      <w:pPr>
        <w:pStyle w:val="Textoindependiente"/>
        <w:spacing w:before="0" w:after="0"/>
        <w:rPr>
          <w:rFonts w:ascii="Arial" w:hAnsi="Arial"/>
          <w:sz w:val="20"/>
          <w:szCs w:val="20"/>
        </w:rPr>
      </w:pPr>
    </w:p>
    <w:p w:rsidR="00915830" w:rsidRPr="00F10E17" w:rsidRDefault="00915830" w:rsidP="00F10E17">
      <w:pPr>
        <w:pStyle w:val="Textoindependiente"/>
        <w:spacing w:before="0" w:after="0"/>
        <w:jc w:val="center"/>
        <w:rPr>
          <w:rFonts w:ascii="Arial" w:hAnsi="Arial"/>
          <w:sz w:val="20"/>
          <w:szCs w:val="20"/>
        </w:rPr>
      </w:pPr>
    </w:p>
    <w:p w:rsidR="00915830" w:rsidRDefault="00915830" w:rsidP="00F10E17">
      <w:pPr>
        <w:pStyle w:val="Textoindependiente"/>
        <w:spacing w:before="0" w:after="0"/>
        <w:ind w:firstLine="567"/>
        <w:rPr>
          <w:rFonts w:ascii="Arial" w:hAnsi="Arial"/>
          <w:sz w:val="20"/>
          <w:szCs w:val="20"/>
        </w:rPr>
      </w:pPr>
    </w:p>
    <w:p w:rsidR="00234504" w:rsidRPr="00234504" w:rsidRDefault="004A292E" w:rsidP="004A292E">
      <w:pPr>
        <w:rPr>
          <w:rFonts w:ascii="Arial" w:hAnsi="Arial"/>
          <w:b/>
          <w:sz w:val="20"/>
          <w:szCs w:val="20"/>
        </w:rPr>
      </w:pPr>
      <w:r>
        <w:rPr>
          <w:rFonts w:ascii="Arial" w:hAnsi="Arial"/>
          <w:b/>
          <w:sz w:val="20"/>
          <w:szCs w:val="20"/>
        </w:rPr>
        <w:t xml:space="preserve">1. </w:t>
      </w:r>
      <w:r w:rsidR="00234504" w:rsidRPr="00234504">
        <w:rPr>
          <w:rFonts w:ascii="Arial" w:hAnsi="Arial"/>
          <w:b/>
          <w:sz w:val="20"/>
          <w:szCs w:val="20"/>
        </w:rPr>
        <w:t>Introducción y objetivos</w:t>
      </w:r>
    </w:p>
    <w:p w:rsidR="00234504" w:rsidRPr="00F10E17" w:rsidRDefault="00234504" w:rsidP="00493802">
      <w:pPr>
        <w:pStyle w:val="Textoindependiente"/>
        <w:spacing w:before="0" w:after="0"/>
        <w:rPr>
          <w:rFonts w:ascii="Arial" w:hAnsi="Arial"/>
          <w:sz w:val="20"/>
          <w:szCs w:val="20"/>
        </w:rPr>
      </w:pPr>
    </w:p>
    <w:p w:rsidR="00915830" w:rsidRDefault="00915830" w:rsidP="00F10E17">
      <w:pPr>
        <w:pStyle w:val="Textoindependiente"/>
        <w:spacing w:before="0" w:after="0"/>
        <w:ind w:firstLine="567"/>
        <w:rPr>
          <w:rFonts w:ascii="Arial" w:hAnsi="Arial"/>
          <w:sz w:val="20"/>
          <w:szCs w:val="20"/>
        </w:rPr>
      </w:pPr>
      <w:r w:rsidRPr="00F10E17">
        <w:rPr>
          <w:rFonts w:ascii="Arial" w:hAnsi="Arial"/>
          <w:sz w:val="20"/>
          <w:szCs w:val="20"/>
        </w:rPr>
        <w:t>El estudio de la estructura financiera constituye</w:t>
      </w:r>
      <w:r w:rsidR="000A5B26">
        <w:rPr>
          <w:rFonts w:ascii="Arial" w:hAnsi="Arial"/>
          <w:sz w:val="20"/>
          <w:szCs w:val="20"/>
        </w:rPr>
        <w:t xml:space="preserve">, desde el trabajo </w:t>
      </w:r>
      <w:r w:rsidR="008B2F7D">
        <w:rPr>
          <w:rFonts w:ascii="Arial" w:hAnsi="Arial"/>
          <w:sz w:val="20"/>
          <w:szCs w:val="20"/>
        </w:rPr>
        <w:t xml:space="preserve">de </w:t>
      </w:r>
      <w:proofErr w:type="spellStart"/>
      <w:r w:rsidR="008B2F7D">
        <w:rPr>
          <w:rFonts w:ascii="Arial" w:hAnsi="Arial"/>
          <w:sz w:val="20"/>
          <w:szCs w:val="20"/>
        </w:rPr>
        <w:t>Modigliani</w:t>
      </w:r>
      <w:proofErr w:type="spellEnd"/>
      <w:r w:rsidR="008B2F7D">
        <w:rPr>
          <w:rFonts w:ascii="Arial" w:hAnsi="Arial"/>
          <w:sz w:val="20"/>
          <w:szCs w:val="20"/>
        </w:rPr>
        <w:t xml:space="preserve"> y Miller (1958),</w:t>
      </w:r>
      <w:r w:rsidRPr="00F10E17">
        <w:rPr>
          <w:rFonts w:ascii="Arial" w:hAnsi="Arial"/>
          <w:sz w:val="20"/>
          <w:szCs w:val="20"/>
        </w:rPr>
        <w:t xml:space="preserve"> una línea compleja y recurrente de investigación en el ámbito de las finanzas empresariales. A pesar de la existencia de opiniones diferentes sobre las relaciones entre el sistema financiero y el crecimiento económico (</w:t>
      </w:r>
      <w:proofErr w:type="spellStart"/>
      <w:r w:rsidRPr="00F10E17">
        <w:rPr>
          <w:rFonts w:ascii="Arial" w:hAnsi="Arial"/>
          <w:sz w:val="20"/>
          <w:szCs w:val="20"/>
        </w:rPr>
        <w:t>Levine</w:t>
      </w:r>
      <w:proofErr w:type="spellEnd"/>
      <w:r w:rsidRPr="00F10E17">
        <w:rPr>
          <w:rFonts w:ascii="Arial" w:hAnsi="Arial"/>
          <w:sz w:val="20"/>
          <w:szCs w:val="20"/>
        </w:rPr>
        <w:t>, 2005), predominan los razonamientos teóricos y las aplicaciones empíricas que evidencian una fuerte relación positiva. No obstante, a nivel microeconómico, las repercusiones de los diferentes tipos de financiación podrían variar según l</w:t>
      </w:r>
      <w:r w:rsidR="005D1126">
        <w:rPr>
          <w:rFonts w:ascii="Arial" w:hAnsi="Arial"/>
          <w:sz w:val="20"/>
          <w:szCs w:val="20"/>
        </w:rPr>
        <w:t>a situación económica o la tipología</w:t>
      </w:r>
      <w:r w:rsidRPr="00F10E17">
        <w:rPr>
          <w:rFonts w:ascii="Arial" w:hAnsi="Arial"/>
          <w:sz w:val="20"/>
          <w:szCs w:val="20"/>
        </w:rPr>
        <w:t xml:space="preserve"> de empresa.</w:t>
      </w:r>
    </w:p>
    <w:p w:rsidR="00234504" w:rsidRPr="00F10E17" w:rsidRDefault="00234504" w:rsidP="00F10E17">
      <w:pPr>
        <w:pStyle w:val="Textoindependiente"/>
        <w:spacing w:before="0" w:after="0"/>
        <w:ind w:firstLine="567"/>
        <w:rPr>
          <w:rFonts w:ascii="Arial" w:hAnsi="Arial"/>
          <w:sz w:val="20"/>
          <w:szCs w:val="20"/>
        </w:rPr>
      </w:pPr>
    </w:p>
    <w:p w:rsidR="00915830" w:rsidRDefault="00915830" w:rsidP="00F10E17">
      <w:pPr>
        <w:pStyle w:val="Textoindependiente"/>
        <w:spacing w:before="0" w:after="0"/>
        <w:ind w:firstLine="567"/>
        <w:rPr>
          <w:rFonts w:ascii="Arial" w:hAnsi="Arial"/>
          <w:sz w:val="20"/>
          <w:szCs w:val="20"/>
        </w:rPr>
      </w:pPr>
      <w:r w:rsidRPr="00F10E17">
        <w:rPr>
          <w:rFonts w:ascii="Arial" w:hAnsi="Arial"/>
          <w:sz w:val="20"/>
          <w:szCs w:val="20"/>
        </w:rPr>
        <w:t xml:space="preserve">Incrementar el conocimiento de la estructura financiera de las empresas y sus implicaciones sobre la gestión empresarial constituye el punto de partida para mejorar las condiciones de acceso a la financiación ajena y disminuir costes de transacción, así como para optimizar las políticas internas de financiación de estas entidades. No existe una teoría universal sobre la estructura financiera en la empresa (Myers, 2001), aunque sí teorías parciales formuladas a raíz de trabajos empíricos que tratan de relacionar dicha estructura con diferentes variables, como la dimensión empresarial o el sector de actividad (Jiménez y </w:t>
      </w:r>
      <w:proofErr w:type="spellStart"/>
      <w:r w:rsidRPr="00F10E17">
        <w:rPr>
          <w:rFonts w:ascii="Arial" w:hAnsi="Arial"/>
          <w:sz w:val="20"/>
          <w:szCs w:val="20"/>
        </w:rPr>
        <w:t>Palacín</w:t>
      </w:r>
      <w:proofErr w:type="spellEnd"/>
      <w:r w:rsidRPr="00F10E17">
        <w:rPr>
          <w:rFonts w:ascii="Arial" w:hAnsi="Arial"/>
          <w:sz w:val="20"/>
          <w:szCs w:val="20"/>
        </w:rPr>
        <w:t>, 2007).</w:t>
      </w:r>
    </w:p>
    <w:p w:rsidR="00234504" w:rsidRPr="00F10E17" w:rsidRDefault="00234504" w:rsidP="00F10E17">
      <w:pPr>
        <w:pStyle w:val="Textoindependiente"/>
        <w:spacing w:before="0" w:after="0"/>
        <w:ind w:firstLine="567"/>
        <w:rPr>
          <w:rFonts w:ascii="Arial" w:hAnsi="Arial"/>
          <w:sz w:val="20"/>
          <w:szCs w:val="20"/>
        </w:rPr>
      </w:pPr>
    </w:p>
    <w:p w:rsidR="00FD61F3" w:rsidRDefault="00FD61F3" w:rsidP="00F10E17">
      <w:pPr>
        <w:pStyle w:val="Textoindependiente"/>
        <w:spacing w:before="0" w:after="0"/>
        <w:ind w:firstLine="567"/>
        <w:rPr>
          <w:rFonts w:ascii="Arial" w:hAnsi="Arial"/>
          <w:sz w:val="20"/>
          <w:szCs w:val="20"/>
        </w:rPr>
      </w:pPr>
      <w:r w:rsidRPr="00F10E17">
        <w:rPr>
          <w:rFonts w:ascii="Arial" w:hAnsi="Arial"/>
          <w:sz w:val="20"/>
          <w:szCs w:val="20"/>
        </w:rPr>
        <w:t>Si bien la teoría financiera se ha basado tradicionalmente en utilizar variables internas de las propias empresas como explicativas o determinantes de su estructura financiera, lo cierto es que la e</w:t>
      </w:r>
      <w:r w:rsidR="00F17665" w:rsidRPr="00F10E17">
        <w:rPr>
          <w:rFonts w:ascii="Arial" w:hAnsi="Arial"/>
          <w:sz w:val="20"/>
          <w:szCs w:val="20"/>
        </w:rPr>
        <w:t>videncia empírica revela que dicha estructura varía</w:t>
      </w:r>
      <w:r w:rsidRPr="00F10E17">
        <w:rPr>
          <w:rFonts w:ascii="Arial" w:hAnsi="Arial"/>
          <w:sz w:val="20"/>
          <w:szCs w:val="20"/>
        </w:rPr>
        <w:t xml:space="preserve"> en el ti</w:t>
      </w:r>
      <w:r w:rsidR="00537887" w:rsidRPr="00F10E17">
        <w:rPr>
          <w:rFonts w:ascii="Arial" w:hAnsi="Arial"/>
          <w:sz w:val="20"/>
          <w:szCs w:val="20"/>
        </w:rPr>
        <w:t>e</w:t>
      </w:r>
      <w:r w:rsidRPr="00F10E17">
        <w:rPr>
          <w:rFonts w:ascii="Arial" w:hAnsi="Arial"/>
          <w:sz w:val="20"/>
          <w:szCs w:val="20"/>
        </w:rPr>
        <w:t>mpo como consecuencia</w:t>
      </w:r>
      <w:r w:rsidR="00537887" w:rsidRPr="00F10E17">
        <w:rPr>
          <w:rFonts w:ascii="Arial" w:hAnsi="Arial"/>
          <w:sz w:val="20"/>
          <w:szCs w:val="20"/>
        </w:rPr>
        <w:t xml:space="preserve"> </w:t>
      </w:r>
      <w:r w:rsidR="00537887" w:rsidRPr="00337574">
        <w:rPr>
          <w:rFonts w:ascii="Arial" w:hAnsi="Arial"/>
          <w:sz w:val="20"/>
          <w:szCs w:val="20"/>
        </w:rPr>
        <w:t>de las condiciones macroeconómicas del entorno en que se hallen inmersas</w:t>
      </w:r>
      <w:r w:rsidR="00676DAF" w:rsidRPr="00337574">
        <w:rPr>
          <w:rFonts w:ascii="Arial" w:hAnsi="Arial"/>
          <w:sz w:val="20"/>
          <w:szCs w:val="20"/>
        </w:rPr>
        <w:t xml:space="preserve"> (Azofra y </w:t>
      </w:r>
      <w:r w:rsidR="00676DAF" w:rsidRPr="00337574">
        <w:rPr>
          <w:rFonts w:ascii="Arial" w:hAnsi="Arial"/>
          <w:sz w:val="20"/>
          <w:szCs w:val="20"/>
        </w:rPr>
        <w:lastRenderedPageBreak/>
        <w:t>Rodríguez, 2012)</w:t>
      </w:r>
      <w:r w:rsidR="00537887" w:rsidRPr="00337574">
        <w:rPr>
          <w:rFonts w:ascii="Arial" w:hAnsi="Arial"/>
          <w:sz w:val="20"/>
          <w:szCs w:val="20"/>
        </w:rPr>
        <w:t>. Con objeto de analizar el efecto de las condiciones macroeconómicas en la</w:t>
      </w:r>
      <w:r w:rsidR="00537887" w:rsidRPr="00F10E17">
        <w:rPr>
          <w:rFonts w:ascii="Arial" w:hAnsi="Arial"/>
          <w:sz w:val="20"/>
          <w:szCs w:val="20"/>
        </w:rPr>
        <w:t xml:space="preserve"> determinación de la estructura de capital</w:t>
      </w:r>
      <w:r w:rsidR="00F17665" w:rsidRPr="00F10E17">
        <w:rPr>
          <w:rFonts w:ascii="Arial" w:hAnsi="Arial"/>
          <w:sz w:val="20"/>
          <w:szCs w:val="20"/>
        </w:rPr>
        <w:t>,</w:t>
      </w:r>
      <w:r w:rsidR="00537887" w:rsidRPr="00F10E17">
        <w:rPr>
          <w:rFonts w:ascii="Arial" w:hAnsi="Arial"/>
          <w:sz w:val="20"/>
          <w:szCs w:val="20"/>
        </w:rPr>
        <w:t xml:space="preserve"> trabajos recientes han desarrollado modelos que argumentan una relación entre el apalancamiento de las empresas y dichas condiciones</w:t>
      </w:r>
      <w:r w:rsidR="00F17665" w:rsidRPr="00F10E17">
        <w:rPr>
          <w:rFonts w:ascii="Arial" w:hAnsi="Arial"/>
          <w:sz w:val="20"/>
          <w:szCs w:val="20"/>
        </w:rPr>
        <w:t xml:space="preserve"> económicas</w:t>
      </w:r>
      <w:r w:rsidR="00537887" w:rsidRPr="00F10E17">
        <w:rPr>
          <w:rFonts w:ascii="Arial" w:hAnsi="Arial"/>
          <w:sz w:val="20"/>
          <w:szCs w:val="20"/>
        </w:rPr>
        <w:t>.</w:t>
      </w:r>
    </w:p>
    <w:p w:rsidR="00234504" w:rsidRPr="00F10E17" w:rsidRDefault="00234504" w:rsidP="00F10E17">
      <w:pPr>
        <w:pStyle w:val="Textoindependiente"/>
        <w:spacing w:before="0" w:after="0"/>
        <w:ind w:firstLine="567"/>
        <w:rPr>
          <w:rFonts w:ascii="Arial" w:hAnsi="Arial"/>
          <w:sz w:val="20"/>
          <w:szCs w:val="20"/>
        </w:rPr>
      </w:pPr>
    </w:p>
    <w:p w:rsidR="00EA4401" w:rsidRDefault="00915830" w:rsidP="00F10E17">
      <w:pPr>
        <w:pStyle w:val="Textoindependiente"/>
        <w:spacing w:before="0" w:after="0"/>
        <w:ind w:firstLine="567"/>
        <w:rPr>
          <w:rFonts w:ascii="Arial" w:hAnsi="Arial"/>
          <w:sz w:val="20"/>
          <w:szCs w:val="20"/>
        </w:rPr>
      </w:pPr>
      <w:r w:rsidRPr="00F10E17">
        <w:rPr>
          <w:rFonts w:ascii="Arial" w:hAnsi="Arial"/>
          <w:sz w:val="20"/>
          <w:szCs w:val="20"/>
        </w:rPr>
        <w:t>En esta línea de investigación, el objetivo</w:t>
      </w:r>
      <w:r w:rsidR="00F17665" w:rsidRPr="00F10E17">
        <w:rPr>
          <w:rFonts w:ascii="Arial" w:hAnsi="Arial"/>
          <w:sz w:val="20"/>
          <w:szCs w:val="20"/>
        </w:rPr>
        <w:t xml:space="preserve"> del presente trabajo es aportar</w:t>
      </w:r>
      <w:r w:rsidRPr="00F10E17">
        <w:rPr>
          <w:rFonts w:ascii="Arial" w:hAnsi="Arial"/>
          <w:sz w:val="20"/>
          <w:szCs w:val="20"/>
        </w:rPr>
        <w:t xml:space="preserve"> evidencia empírica sobre la estructura financiera </w:t>
      </w:r>
      <w:r w:rsidR="00FD61F3" w:rsidRPr="00F10E17">
        <w:rPr>
          <w:rFonts w:ascii="Arial" w:hAnsi="Arial"/>
          <w:sz w:val="20"/>
          <w:szCs w:val="20"/>
        </w:rPr>
        <w:t xml:space="preserve">y su posible relación con diversas variables </w:t>
      </w:r>
      <w:r w:rsidR="00F17665" w:rsidRPr="00F10E17">
        <w:rPr>
          <w:rFonts w:ascii="Arial" w:hAnsi="Arial"/>
          <w:sz w:val="20"/>
          <w:szCs w:val="20"/>
        </w:rPr>
        <w:t>de</w:t>
      </w:r>
      <w:r w:rsidRPr="00F10E17">
        <w:rPr>
          <w:rFonts w:ascii="Arial" w:hAnsi="Arial"/>
          <w:sz w:val="20"/>
          <w:szCs w:val="20"/>
        </w:rPr>
        <w:t xml:space="preserve"> las </w:t>
      </w:r>
      <w:r w:rsidR="00FD61F3" w:rsidRPr="00F10E17">
        <w:rPr>
          <w:rFonts w:ascii="Arial" w:hAnsi="Arial"/>
          <w:sz w:val="20"/>
          <w:szCs w:val="20"/>
        </w:rPr>
        <w:t>sociedades cooperativas</w:t>
      </w:r>
      <w:r w:rsidRPr="00F10E17">
        <w:rPr>
          <w:rFonts w:ascii="Arial" w:hAnsi="Arial"/>
          <w:sz w:val="20"/>
          <w:szCs w:val="20"/>
        </w:rPr>
        <w:t xml:space="preserve"> en España, entidades representativas y uno de los máximos exponentes de la Economía Social en nuestro país, </w:t>
      </w:r>
      <w:r w:rsidR="00FD61F3" w:rsidRPr="00F10E17">
        <w:rPr>
          <w:rFonts w:ascii="Arial" w:hAnsi="Arial"/>
          <w:sz w:val="20"/>
          <w:szCs w:val="20"/>
        </w:rPr>
        <w:t>particularizando la muestra objeto de estudio a las</w:t>
      </w:r>
      <w:r w:rsidR="000A5B26">
        <w:rPr>
          <w:rFonts w:ascii="Arial" w:hAnsi="Arial"/>
          <w:sz w:val="20"/>
          <w:szCs w:val="20"/>
        </w:rPr>
        <w:t xml:space="preserve"> entidades cooperativas agrarias</w:t>
      </w:r>
      <w:r w:rsidR="00FD61F3" w:rsidRPr="00F10E17">
        <w:rPr>
          <w:rFonts w:ascii="Arial" w:hAnsi="Arial"/>
          <w:sz w:val="20"/>
          <w:szCs w:val="20"/>
        </w:rPr>
        <w:t>. El estudio</w:t>
      </w:r>
      <w:r w:rsidRPr="00F10E17">
        <w:rPr>
          <w:rFonts w:ascii="Arial" w:hAnsi="Arial"/>
          <w:sz w:val="20"/>
          <w:szCs w:val="20"/>
        </w:rPr>
        <w:t xml:space="preserve"> empírico </w:t>
      </w:r>
      <w:r w:rsidR="00EA4401" w:rsidRPr="00F10E17">
        <w:rPr>
          <w:rFonts w:ascii="Arial" w:hAnsi="Arial"/>
          <w:sz w:val="20"/>
          <w:szCs w:val="20"/>
        </w:rPr>
        <w:t xml:space="preserve">parte de los resultados de un </w:t>
      </w:r>
      <w:r w:rsidR="00EA4401" w:rsidRPr="00D1101E">
        <w:rPr>
          <w:rFonts w:ascii="Arial" w:hAnsi="Arial"/>
          <w:sz w:val="20"/>
          <w:szCs w:val="20"/>
        </w:rPr>
        <w:t>trabajo previo (Lajara</w:t>
      </w:r>
      <w:r w:rsidR="00261AB3">
        <w:rPr>
          <w:rFonts w:ascii="Arial" w:hAnsi="Arial"/>
          <w:sz w:val="20"/>
          <w:szCs w:val="20"/>
        </w:rPr>
        <w:t>-Camilleri</w:t>
      </w:r>
      <w:r w:rsidR="00EA4401" w:rsidRPr="00D1101E">
        <w:rPr>
          <w:rFonts w:ascii="Arial" w:hAnsi="Arial"/>
          <w:sz w:val="20"/>
          <w:szCs w:val="20"/>
        </w:rPr>
        <w:t xml:space="preserve"> y Mateos</w:t>
      </w:r>
      <w:r w:rsidR="00261AB3">
        <w:rPr>
          <w:rFonts w:ascii="Arial" w:hAnsi="Arial"/>
          <w:sz w:val="20"/>
          <w:szCs w:val="20"/>
        </w:rPr>
        <w:t>-Ronco</w:t>
      </w:r>
      <w:r w:rsidR="00EA4401" w:rsidRPr="00D1101E">
        <w:rPr>
          <w:rFonts w:ascii="Arial" w:hAnsi="Arial"/>
          <w:sz w:val="20"/>
          <w:szCs w:val="20"/>
        </w:rPr>
        <w:t>, 2012)</w:t>
      </w:r>
      <w:r w:rsidR="00FD61F3" w:rsidRPr="00D1101E">
        <w:rPr>
          <w:rFonts w:ascii="Arial" w:hAnsi="Arial"/>
          <w:sz w:val="20"/>
          <w:szCs w:val="20"/>
        </w:rPr>
        <w:t xml:space="preserve"> en el que se analizan los factores determinantes de la</w:t>
      </w:r>
      <w:r w:rsidR="00FD61F3" w:rsidRPr="00F10E17">
        <w:rPr>
          <w:rFonts w:ascii="Arial" w:hAnsi="Arial"/>
          <w:sz w:val="20"/>
          <w:szCs w:val="20"/>
        </w:rPr>
        <w:t xml:space="preserve"> estructura financiera de este tipo de entidades pero que se completan en este caso con un anál</w:t>
      </w:r>
      <w:r w:rsidR="00F17665" w:rsidRPr="00F10E17">
        <w:rPr>
          <w:rFonts w:ascii="Arial" w:hAnsi="Arial"/>
          <w:sz w:val="20"/>
          <w:szCs w:val="20"/>
        </w:rPr>
        <w:t>isis dinámico,</w:t>
      </w:r>
      <w:r w:rsidR="00537887" w:rsidRPr="00F10E17">
        <w:rPr>
          <w:rFonts w:ascii="Arial" w:hAnsi="Arial"/>
          <w:sz w:val="20"/>
          <w:szCs w:val="20"/>
        </w:rPr>
        <w:t xml:space="preserve"> que </w:t>
      </w:r>
      <w:r w:rsidR="00FD61F3" w:rsidRPr="00F10E17">
        <w:rPr>
          <w:rFonts w:ascii="Arial" w:hAnsi="Arial"/>
          <w:sz w:val="20"/>
          <w:szCs w:val="20"/>
        </w:rPr>
        <w:t>pretende caracterizar el patrón de comportamiento en un horizonte temporal que sea capaz de contemplar los posible</w:t>
      </w:r>
      <w:r w:rsidR="00537887" w:rsidRPr="00F10E17">
        <w:rPr>
          <w:rFonts w:ascii="Arial" w:hAnsi="Arial"/>
          <w:sz w:val="20"/>
          <w:szCs w:val="20"/>
        </w:rPr>
        <w:t>s</w:t>
      </w:r>
      <w:r w:rsidR="00FD61F3" w:rsidRPr="00F10E17">
        <w:rPr>
          <w:rFonts w:ascii="Arial" w:hAnsi="Arial"/>
          <w:sz w:val="20"/>
          <w:szCs w:val="20"/>
        </w:rPr>
        <w:t xml:space="preserve"> efectos de las condiciones macroeconómicas y las restricciones financieras sobre los determinantes de la estructura de capital de estas entidades.</w:t>
      </w:r>
    </w:p>
    <w:p w:rsidR="00234504" w:rsidRPr="00F10E17" w:rsidRDefault="00234504" w:rsidP="00F10E17">
      <w:pPr>
        <w:pStyle w:val="Textoindependiente"/>
        <w:spacing w:before="0" w:after="0"/>
        <w:ind w:firstLine="567"/>
        <w:rPr>
          <w:rFonts w:ascii="Arial" w:hAnsi="Arial"/>
          <w:sz w:val="20"/>
          <w:szCs w:val="20"/>
        </w:rPr>
      </w:pPr>
    </w:p>
    <w:p w:rsidR="00537887" w:rsidRDefault="00FD61F3" w:rsidP="002E14E4">
      <w:pPr>
        <w:pStyle w:val="Textoindependiente"/>
        <w:spacing w:before="0" w:after="0"/>
        <w:ind w:firstLine="567"/>
        <w:rPr>
          <w:rFonts w:ascii="Arial" w:hAnsi="Arial"/>
          <w:sz w:val="20"/>
          <w:szCs w:val="20"/>
        </w:rPr>
      </w:pPr>
      <w:r w:rsidRPr="00F10E17">
        <w:rPr>
          <w:rFonts w:ascii="Arial" w:hAnsi="Arial"/>
          <w:sz w:val="20"/>
          <w:szCs w:val="20"/>
        </w:rPr>
        <w:t xml:space="preserve">Para ello se </w:t>
      </w:r>
      <w:r w:rsidR="00915830" w:rsidRPr="00F10E17">
        <w:rPr>
          <w:rFonts w:ascii="Arial" w:hAnsi="Arial"/>
          <w:sz w:val="20"/>
          <w:szCs w:val="20"/>
        </w:rPr>
        <w:t>utiliza la información contable divulgada por estas entidade</w:t>
      </w:r>
      <w:r w:rsidR="00337574">
        <w:rPr>
          <w:rFonts w:ascii="Arial" w:hAnsi="Arial"/>
          <w:sz w:val="20"/>
          <w:szCs w:val="20"/>
        </w:rPr>
        <w:t>s a través de una base de datos</w:t>
      </w:r>
      <w:r w:rsidR="00915830" w:rsidRPr="00F10E17">
        <w:rPr>
          <w:rFonts w:ascii="Arial" w:hAnsi="Arial"/>
          <w:sz w:val="20"/>
          <w:szCs w:val="20"/>
        </w:rPr>
        <w:t xml:space="preserve"> a fin de </w:t>
      </w:r>
      <w:r w:rsidR="004F5A99">
        <w:rPr>
          <w:rFonts w:ascii="Arial" w:hAnsi="Arial"/>
          <w:sz w:val="20"/>
          <w:szCs w:val="20"/>
        </w:rPr>
        <w:t xml:space="preserve">evidenciar diferencias en su estructura de capital en función del horizonte temporal (previo y posterior a la crisis económica) para, a continuación, </w:t>
      </w:r>
      <w:r w:rsidR="00915830" w:rsidRPr="00F10E17">
        <w:rPr>
          <w:rFonts w:ascii="Arial" w:hAnsi="Arial"/>
          <w:sz w:val="20"/>
          <w:szCs w:val="20"/>
        </w:rPr>
        <w:t xml:space="preserve">caracterizar su estructura financiera </w:t>
      </w:r>
      <w:r w:rsidR="004F5A99">
        <w:rPr>
          <w:rFonts w:ascii="Arial" w:hAnsi="Arial"/>
          <w:sz w:val="20"/>
          <w:szCs w:val="20"/>
        </w:rPr>
        <w:t>y</w:t>
      </w:r>
      <w:r w:rsidR="00537887" w:rsidRPr="00F10E17">
        <w:rPr>
          <w:rFonts w:ascii="Arial" w:hAnsi="Arial"/>
          <w:sz w:val="20"/>
          <w:szCs w:val="20"/>
        </w:rPr>
        <w:t xml:space="preserve"> dete</w:t>
      </w:r>
      <w:r w:rsidR="004F5A99">
        <w:rPr>
          <w:rFonts w:ascii="Arial" w:hAnsi="Arial"/>
          <w:sz w:val="20"/>
          <w:szCs w:val="20"/>
        </w:rPr>
        <w:t>rminar los factores que, en el</w:t>
      </w:r>
      <w:r w:rsidR="00537887" w:rsidRPr="00F10E17">
        <w:rPr>
          <w:rFonts w:ascii="Arial" w:hAnsi="Arial"/>
          <w:sz w:val="20"/>
          <w:szCs w:val="20"/>
        </w:rPr>
        <w:t xml:space="preserve"> periodo</w:t>
      </w:r>
      <w:r w:rsidR="004F5A99">
        <w:rPr>
          <w:rFonts w:ascii="Arial" w:hAnsi="Arial"/>
          <w:sz w:val="20"/>
          <w:szCs w:val="20"/>
        </w:rPr>
        <w:t xml:space="preserve"> de dificultades macroeconómicas</w:t>
      </w:r>
      <w:r w:rsidR="00537887" w:rsidRPr="00F10E17">
        <w:rPr>
          <w:rFonts w:ascii="Arial" w:hAnsi="Arial"/>
          <w:sz w:val="20"/>
          <w:szCs w:val="20"/>
        </w:rPr>
        <w:t>, cond</w:t>
      </w:r>
      <w:r w:rsidR="004F5A99">
        <w:rPr>
          <w:rFonts w:ascii="Arial" w:hAnsi="Arial"/>
          <w:sz w:val="20"/>
          <w:szCs w:val="20"/>
        </w:rPr>
        <w:t>icionan su financiación</w:t>
      </w:r>
      <w:r w:rsidRPr="00F10E17">
        <w:rPr>
          <w:rFonts w:ascii="Arial" w:hAnsi="Arial"/>
          <w:sz w:val="20"/>
          <w:szCs w:val="20"/>
        </w:rPr>
        <w:t xml:space="preserve"> </w:t>
      </w:r>
      <w:r w:rsidR="00915830" w:rsidRPr="00F10E17">
        <w:rPr>
          <w:rFonts w:ascii="Arial" w:hAnsi="Arial"/>
          <w:sz w:val="20"/>
          <w:szCs w:val="20"/>
        </w:rPr>
        <w:t xml:space="preserve">y </w:t>
      </w:r>
      <w:r w:rsidR="000A5B26">
        <w:rPr>
          <w:rFonts w:ascii="Arial" w:hAnsi="Arial"/>
          <w:sz w:val="20"/>
          <w:szCs w:val="20"/>
        </w:rPr>
        <w:t xml:space="preserve">de esta forma </w:t>
      </w:r>
      <w:r w:rsidR="00915830" w:rsidRPr="00F10E17">
        <w:rPr>
          <w:rFonts w:ascii="Arial" w:hAnsi="Arial"/>
          <w:sz w:val="20"/>
          <w:szCs w:val="20"/>
        </w:rPr>
        <w:t>obtener conclusiones que faciliten la adopción de decisiones de financiación más eficientes en este tipo de empresas.</w:t>
      </w:r>
    </w:p>
    <w:p w:rsidR="002E14E4" w:rsidRDefault="002E14E4" w:rsidP="002E14E4">
      <w:pPr>
        <w:pStyle w:val="Textoindependiente"/>
        <w:spacing w:before="0" w:after="0"/>
        <w:ind w:firstLine="567"/>
        <w:rPr>
          <w:rFonts w:ascii="Arial" w:hAnsi="Arial"/>
          <w:sz w:val="20"/>
          <w:szCs w:val="20"/>
        </w:rPr>
      </w:pPr>
    </w:p>
    <w:p w:rsidR="002E14E4" w:rsidRPr="00F10E17" w:rsidRDefault="002E14E4" w:rsidP="002E14E4">
      <w:pPr>
        <w:pStyle w:val="Textoindependiente"/>
        <w:spacing w:before="0" w:after="0"/>
        <w:ind w:firstLine="567"/>
        <w:rPr>
          <w:rFonts w:ascii="Arial" w:hAnsi="Arial"/>
          <w:sz w:val="20"/>
          <w:szCs w:val="20"/>
        </w:rPr>
      </w:pPr>
    </w:p>
    <w:p w:rsidR="00676DAF" w:rsidRPr="00687A0A" w:rsidRDefault="004A292E" w:rsidP="004A292E">
      <w:pPr>
        <w:pStyle w:val="Textoindependiente"/>
        <w:spacing w:before="0" w:after="0"/>
        <w:ind w:left="142"/>
        <w:rPr>
          <w:rFonts w:ascii="Arial" w:hAnsi="Arial"/>
          <w:b/>
          <w:sz w:val="20"/>
          <w:szCs w:val="20"/>
        </w:rPr>
      </w:pPr>
      <w:r>
        <w:rPr>
          <w:rFonts w:ascii="Arial" w:hAnsi="Arial"/>
          <w:b/>
          <w:sz w:val="20"/>
          <w:szCs w:val="20"/>
        </w:rPr>
        <w:t xml:space="preserve">2. </w:t>
      </w:r>
      <w:r w:rsidR="00234504" w:rsidRPr="00687A0A">
        <w:rPr>
          <w:rFonts w:ascii="Arial" w:hAnsi="Arial"/>
          <w:b/>
          <w:sz w:val="20"/>
          <w:szCs w:val="20"/>
        </w:rPr>
        <w:t>Marco teórico</w:t>
      </w:r>
      <w:r w:rsidR="000A5B26">
        <w:rPr>
          <w:rFonts w:ascii="Arial" w:hAnsi="Arial"/>
          <w:b/>
          <w:sz w:val="20"/>
          <w:szCs w:val="20"/>
        </w:rPr>
        <w:t>: hipótesis de la investigación</w:t>
      </w:r>
    </w:p>
    <w:p w:rsidR="00234504" w:rsidRDefault="00234504" w:rsidP="00234504">
      <w:pPr>
        <w:pStyle w:val="Textoindependiente"/>
        <w:spacing w:before="0" w:after="0"/>
        <w:ind w:firstLine="567"/>
        <w:rPr>
          <w:rFonts w:ascii="Arial" w:hAnsi="Arial"/>
          <w:sz w:val="20"/>
          <w:szCs w:val="20"/>
        </w:rPr>
      </w:pPr>
    </w:p>
    <w:p w:rsidR="005D1126" w:rsidRPr="005D1126" w:rsidRDefault="005D1126" w:rsidP="00B67BDF">
      <w:pPr>
        <w:ind w:firstLine="567"/>
        <w:jc w:val="both"/>
        <w:rPr>
          <w:rFonts w:ascii="Arial" w:eastAsia="Times New Roman" w:hAnsi="Arial"/>
          <w:sz w:val="20"/>
          <w:szCs w:val="20"/>
          <w:lang w:val="es-ES"/>
        </w:rPr>
      </w:pPr>
      <w:r>
        <w:rPr>
          <w:rFonts w:ascii="Arial" w:eastAsia="Times New Roman" w:hAnsi="Arial"/>
          <w:sz w:val="20"/>
          <w:szCs w:val="20"/>
          <w:lang w:val="es-ES"/>
        </w:rPr>
        <w:t>Si bien</w:t>
      </w:r>
      <w:r w:rsidRPr="005D1126">
        <w:rPr>
          <w:rFonts w:ascii="Arial" w:eastAsia="Times New Roman" w:hAnsi="Arial"/>
          <w:sz w:val="20"/>
          <w:szCs w:val="20"/>
          <w:lang w:val="es-ES"/>
        </w:rPr>
        <w:t xml:space="preserve"> no se ha conseguido formular una teoría universal en relación con la estructura financiera</w:t>
      </w:r>
      <w:r>
        <w:rPr>
          <w:rFonts w:ascii="Arial" w:eastAsia="Times New Roman" w:hAnsi="Arial"/>
          <w:sz w:val="20"/>
          <w:szCs w:val="20"/>
          <w:lang w:val="es-ES"/>
        </w:rPr>
        <w:t xml:space="preserve"> en la empresa</w:t>
      </w:r>
      <w:r w:rsidRPr="005D1126">
        <w:rPr>
          <w:rFonts w:ascii="Arial" w:eastAsia="Times New Roman" w:hAnsi="Arial"/>
          <w:sz w:val="20"/>
          <w:szCs w:val="20"/>
          <w:lang w:val="es-ES"/>
        </w:rPr>
        <w:t>, la investigación científica sí ha avanzado en el conocimiento de diversos factores a los que de forma empírica se les ha reconocido cierta relevancia a la hora de explicar las decision</w:t>
      </w:r>
      <w:r>
        <w:rPr>
          <w:rFonts w:ascii="Arial" w:eastAsia="Times New Roman" w:hAnsi="Arial"/>
          <w:sz w:val="20"/>
          <w:szCs w:val="20"/>
          <w:lang w:val="es-ES"/>
        </w:rPr>
        <w:t>es de financiación</w:t>
      </w:r>
      <w:r w:rsidRPr="005D1126">
        <w:rPr>
          <w:rFonts w:ascii="Arial" w:eastAsia="Times New Roman" w:hAnsi="Arial"/>
          <w:sz w:val="20"/>
          <w:szCs w:val="20"/>
          <w:lang w:val="es-ES"/>
        </w:rPr>
        <w:t xml:space="preserve">. Por una parte, es posible identificar argumentos que justifican la conexión entre el sector de actividad y el endeudamiento de la empresa (Harris y </w:t>
      </w:r>
      <w:proofErr w:type="spellStart"/>
      <w:r w:rsidRPr="005D1126">
        <w:rPr>
          <w:rFonts w:ascii="Arial" w:eastAsia="Times New Roman" w:hAnsi="Arial"/>
          <w:sz w:val="20"/>
          <w:szCs w:val="20"/>
          <w:lang w:val="es-ES"/>
        </w:rPr>
        <w:t>Raviv</w:t>
      </w:r>
      <w:proofErr w:type="spellEnd"/>
      <w:r w:rsidRPr="005D1126">
        <w:rPr>
          <w:rFonts w:ascii="Arial" w:eastAsia="Times New Roman" w:hAnsi="Arial"/>
          <w:sz w:val="20"/>
          <w:szCs w:val="20"/>
          <w:lang w:val="es-ES"/>
        </w:rPr>
        <w:t xml:space="preserve">, 1991; </w:t>
      </w:r>
      <w:proofErr w:type="spellStart"/>
      <w:r w:rsidRPr="005D1126">
        <w:rPr>
          <w:rFonts w:ascii="Arial" w:eastAsia="Times New Roman" w:hAnsi="Arial"/>
          <w:sz w:val="20"/>
          <w:szCs w:val="20"/>
          <w:lang w:val="es-ES"/>
        </w:rPr>
        <w:t>Brealey</w:t>
      </w:r>
      <w:proofErr w:type="spellEnd"/>
      <w:r w:rsidRPr="005D1126">
        <w:rPr>
          <w:rFonts w:ascii="Arial" w:eastAsia="Times New Roman" w:hAnsi="Arial"/>
          <w:sz w:val="20"/>
          <w:szCs w:val="20"/>
          <w:lang w:val="es-ES"/>
        </w:rPr>
        <w:t xml:space="preserve"> y Myers, 2003), en la medida en que la pertenencia a un mismo sector determina el riesgo económico, la composición del activo y, en consecuencia, las necesidades y naturaleza de los recursos financieros.</w:t>
      </w:r>
    </w:p>
    <w:p w:rsidR="00B67BDF" w:rsidRDefault="00B67BDF" w:rsidP="00B67BDF">
      <w:pPr>
        <w:ind w:firstLine="567"/>
        <w:jc w:val="both"/>
        <w:rPr>
          <w:rFonts w:ascii="Arial" w:eastAsia="Times New Roman" w:hAnsi="Arial"/>
          <w:sz w:val="20"/>
          <w:szCs w:val="20"/>
          <w:lang w:val="es-ES"/>
        </w:rPr>
      </w:pPr>
    </w:p>
    <w:p w:rsidR="00234504" w:rsidRPr="00234504" w:rsidRDefault="00234504" w:rsidP="00234504">
      <w:pPr>
        <w:pStyle w:val="Prrafodelista"/>
        <w:spacing w:after="0" w:line="240" w:lineRule="auto"/>
        <w:ind w:left="0" w:firstLine="567"/>
        <w:contextualSpacing w:val="0"/>
        <w:jc w:val="both"/>
        <w:rPr>
          <w:rFonts w:ascii="Arial" w:eastAsia="Times New Roman" w:hAnsi="Arial"/>
          <w:sz w:val="20"/>
          <w:szCs w:val="20"/>
          <w:lang w:val="es-ES" w:eastAsia="es-ES"/>
        </w:rPr>
      </w:pPr>
      <w:r w:rsidRPr="00234504">
        <w:rPr>
          <w:rFonts w:ascii="Arial" w:eastAsia="Times New Roman" w:hAnsi="Arial"/>
          <w:sz w:val="20"/>
          <w:szCs w:val="20"/>
          <w:lang w:val="es-ES" w:eastAsia="es-ES"/>
        </w:rPr>
        <w:t xml:space="preserve">En relación con la investigación empírica sobre la estructura financiera </w:t>
      </w:r>
      <w:r w:rsidR="005D1126">
        <w:rPr>
          <w:rFonts w:ascii="Arial" w:eastAsia="Times New Roman" w:hAnsi="Arial"/>
          <w:sz w:val="20"/>
          <w:szCs w:val="20"/>
          <w:lang w:val="es-ES" w:eastAsia="es-ES"/>
        </w:rPr>
        <w:t xml:space="preserve">de las empresas </w:t>
      </w:r>
      <w:r w:rsidRPr="00234504">
        <w:rPr>
          <w:rFonts w:ascii="Arial" w:eastAsia="Times New Roman" w:hAnsi="Arial"/>
          <w:sz w:val="20"/>
          <w:szCs w:val="20"/>
          <w:lang w:val="es-ES" w:eastAsia="es-ES"/>
        </w:rPr>
        <w:t>en el sector agrario, diversos trabajos han analizado la relación existente entre el</w:t>
      </w:r>
      <w:r w:rsidRPr="000A5B26">
        <w:rPr>
          <w:rFonts w:ascii="Arial" w:eastAsia="Times New Roman" w:hAnsi="Arial"/>
          <w:sz w:val="20"/>
          <w:szCs w:val="20"/>
          <w:lang w:val="es-ES" w:eastAsia="es-ES"/>
        </w:rPr>
        <w:t xml:space="preserve"> nivel de endeudamiento y la eficiencia. </w:t>
      </w:r>
      <w:proofErr w:type="spellStart"/>
      <w:r w:rsidRPr="00234504">
        <w:rPr>
          <w:rFonts w:ascii="Arial" w:eastAsia="Times New Roman" w:hAnsi="Arial"/>
          <w:sz w:val="20"/>
          <w:szCs w:val="20"/>
          <w:lang w:val="es-ES" w:eastAsia="es-ES"/>
        </w:rPr>
        <w:t>Hailu</w:t>
      </w:r>
      <w:proofErr w:type="spellEnd"/>
      <w:r w:rsidRPr="00234504">
        <w:rPr>
          <w:rFonts w:ascii="Arial" w:eastAsia="Times New Roman" w:hAnsi="Arial"/>
          <w:sz w:val="20"/>
          <w:szCs w:val="20"/>
          <w:lang w:val="es-ES" w:eastAsia="es-ES"/>
        </w:rPr>
        <w:t xml:space="preserve"> </w:t>
      </w:r>
      <w:r w:rsidRPr="00234504">
        <w:rPr>
          <w:rFonts w:ascii="Arial" w:eastAsia="Times New Roman" w:hAnsi="Arial"/>
          <w:i/>
          <w:sz w:val="20"/>
          <w:szCs w:val="20"/>
          <w:lang w:val="es-ES" w:eastAsia="es-ES"/>
        </w:rPr>
        <w:t>et al.</w:t>
      </w:r>
      <w:r w:rsidRPr="00234504">
        <w:rPr>
          <w:rFonts w:ascii="Arial" w:eastAsia="Times New Roman" w:hAnsi="Arial"/>
          <w:sz w:val="20"/>
          <w:szCs w:val="20"/>
          <w:lang w:val="es-ES" w:eastAsia="es-ES"/>
        </w:rPr>
        <w:t xml:space="preserve"> (2005) evidenciaron, sobre una muestra de cooperativas canadienses de frutas y hortalizas, que el nivel de endeudamiento afecta negativamente a la eficiencia de la cooperativa, estimada ésta mediante una función de costes. Sin embargo otros autores (Chavas y </w:t>
      </w:r>
      <w:proofErr w:type="spellStart"/>
      <w:r w:rsidRPr="00234504">
        <w:rPr>
          <w:rFonts w:ascii="Arial" w:eastAsia="Times New Roman" w:hAnsi="Arial"/>
          <w:sz w:val="20"/>
          <w:szCs w:val="20"/>
          <w:lang w:val="es-ES" w:eastAsia="es-ES"/>
        </w:rPr>
        <w:t>Aliber</w:t>
      </w:r>
      <w:proofErr w:type="spellEnd"/>
      <w:r w:rsidRPr="00234504">
        <w:rPr>
          <w:rFonts w:ascii="Arial" w:eastAsia="Times New Roman" w:hAnsi="Arial"/>
          <w:sz w:val="20"/>
          <w:szCs w:val="20"/>
          <w:lang w:val="es-ES" w:eastAsia="es-ES"/>
        </w:rPr>
        <w:t xml:space="preserve">, 1993; </w:t>
      </w:r>
      <w:proofErr w:type="spellStart"/>
      <w:r w:rsidRPr="00234504">
        <w:rPr>
          <w:rFonts w:ascii="Arial" w:eastAsia="Times New Roman" w:hAnsi="Arial"/>
          <w:sz w:val="20"/>
          <w:szCs w:val="20"/>
          <w:lang w:val="es-ES" w:eastAsia="es-ES"/>
        </w:rPr>
        <w:t>Nasr</w:t>
      </w:r>
      <w:proofErr w:type="spellEnd"/>
      <w:r w:rsidRPr="00234504">
        <w:rPr>
          <w:rFonts w:ascii="Arial" w:eastAsia="Times New Roman" w:hAnsi="Arial"/>
          <w:sz w:val="20"/>
          <w:szCs w:val="20"/>
          <w:lang w:val="es-ES" w:eastAsia="es-ES"/>
        </w:rPr>
        <w:t xml:space="preserve"> </w:t>
      </w:r>
      <w:r w:rsidRPr="00234504">
        <w:rPr>
          <w:rFonts w:ascii="Arial" w:eastAsia="Times New Roman" w:hAnsi="Arial"/>
          <w:i/>
          <w:sz w:val="20"/>
          <w:szCs w:val="20"/>
          <w:lang w:val="es-ES" w:eastAsia="es-ES"/>
        </w:rPr>
        <w:t>et al.,</w:t>
      </w:r>
      <w:r w:rsidRPr="00234504">
        <w:rPr>
          <w:rFonts w:ascii="Arial" w:eastAsia="Times New Roman" w:hAnsi="Arial"/>
          <w:sz w:val="20"/>
          <w:szCs w:val="20"/>
          <w:lang w:val="es-ES" w:eastAsia="es-ES"/>
        </w:rPr>
        <w:t xml:space="preserve"> 1998) han encontrado relaciones significativas y positivas entre eficiencia y endeudamiento, si bien con diferentes tipos de matizaciones en relación con la medida de la eficiencia y la naturaleza del endeudamiento. Por su parte, Alarcón (2008) demuestra que a medida que se incrementa la eficiencia de las empresas agrarias españolas se incrementan también sus ratios de endeudamiento a corto plazo y descarta que exista un endeudamiento excesivo en las empresas analizadas que deteriore su eficiencia.</w:t>
      </w:r>
      <w:r w:rsidR="005D1126">
        <w:rPr>
          <w:rFonts w:ascii="Arial" w:eastAsia="Times New Roman" w:hAnsi="Arial"/>
          <w:sz w:val="20"/>
          <w:szCs w:val="20"/>
          <w:lang w:val="es-ES" w:eastAsia="es-ES"/>
        </w:rPr>
        <w:t xml:space="preserve"> </w:t>
      </w:r>
      <w:r w:rsidR="00620D6E">
        <w:rPr>
          <w:rFonts w:ascii="Arial" w:eastAsia="Times New Roman" w:hAnsi="Arial"/>
          <w:sz w:val="20"/>
          <w:szCs w:val="20"/>
          <w:lang w:val="es-ES" w:eastAsia="es-ES"/>
        </w:rPr>
        <w:t>Tampoco Lajara</w:t>
      </w:r>
      <w:r w:rsidR="00C2288B">
        <w:rPr>
          <w:rFonts w:ascii="Arial" w:eastAsia="Times New Roman" w:hAnsi="Arial"/>
          <w:sz w:val="20"/>
          <w:szCs w:val="20"/>
          <w:lang w:val="es-ES" w:eastAsia="es-ES"/>
        </w:rPr>
        <w:t>-Camilleri</w:t>
      </w:r>
      <w:r w:rsidR="00620D6E">
        <w:rPr>
          <w:rFonts w:ascii="Arial" w:eastAsia="Times New Roman" w:hAnsi="Arial"/>
          <w:sz w:val="20"/>
          <w:szCs w:val="20"/>
          <w:lang w:val="es-ES" w:eastAsia="es-ES"/>
        </w:rPr>
        <w:t xml:space="preserve"> y Mateos</w:t>
      </w:r>
      <w:r w:rsidR="00C2288B">
        <w:rPr>
          <w:rFonts w:ascii="Arial" w:eastAsia="Times New Roman" w:hAnsi="Arial"/>
          <w:sz w:val="20"/>
          <w:szCs w:val="20"/>
          <w:lang w:val="es-ES" w:eastAsia="es-ES"/>
        </w:rPr>
        <w:t>-Ronco</w:t>
      </w:r>
      <w:r w:rsidR="00620D6E">
        <w:rPr>
          <w:rFonts w:ascii="Arial" w:eastAsia="Times New Roman" w:hAnsi="Arial"/>
          <w:sz w:val="20"/>
          <w:szCs w:val="20"/>
          <w:lang w:val="es-ES" w:eastAsia="es-ES"/>
        </w:rPr>
        <w:t xml:space="preserve"> (2012) evidenciaron una relación concluyente entre estructura financiera y logro o rendimiento empresarial para una muestra de cooperativas agrarias españolas, evaluado éste mediante una variable obtenida a partir de ratios contables.</w:t>
      </w:r>
    </w:p>
    <w:p w:rsidR="00A573E3" w:rsidRDefault="00A573E3" w:rsidP="00234504">
      <w:pPr>
        <w:pStyle w:val="Prrafodelista"/>
        <w:spacing w:after="0" w:line="240" w:lineRule="auto"/>
        <w:ind w:left="0" w:firstLine="567"/>
        <w:contextualSpacing w:val="0"/>
        <w:jc w:val="both"/>
        <w:rPr>
          <w:rFonts w:ascii="Arial" w:hAnsi="Arial"/>
          <w:sz w:val="20"/>
          <w:szCs w:val="20"/>
        </w:rPr>
      </w:pPr>
    </w:p>
    <w:p w:rsidR="00620D6E" w:rsidRDefault="00234504" w:rsidP="00234504">
      <w:pPr>
        <w:pStyle w:val="Prrafodelista"/>
        <w:spacing w:after="0" w:line="240" w:lineRule="auto"/>
        <w:ind w:left="0" w:firstLine="567"/>
        <w:contextualSpacing w:val="0"/>
        <w:jc w:val="both"/>
        <w:rPr>
          <w:rFonts w:ascii="Arial" w:eastAsia="Times New Roman" w:hAnsi="Arial"/>
          <w:sz w:val="20"/>
          <w:szCs w:val="20"/>
          <w:lang w:val="es-ES" w:eastAsia="es-ES"/>
        </w:rPr>
      </w:pPr>
      <w:r w:rsidRPr="00234504">
        <w:rPr>
          <w:rFonts w:ascii="Arial" w:hAnsi="Arial"/>
          <w:sz w:val="20"/>
          <w:szCs w:val="20"/>
        </w:rPr>
        <w:t xml:space="preserve">La hipótesis de la </w:t>
      </w:r>
      <w:r w:rsidRPr="000A5B26">
        <w:rPr>
          <w:rFonts w:ascii="Arial" w:hAnsi="Arial"/>
          <w:sz w:val="20"/>
          <w:szCs w:val="20"/>
        </w:rPr>
        <w:t xml:space="preserve">Teoría del Óptimo Financiero </w:t>
      </w:r>
      <w:r w:rsidRPr="000A5B26">
        <w:rPr>
          <w:rFonts w:ascii="Arial" w:eastAsia="Times New Roman" w:hAnsi="Arial"/>
          <w:sz w:val="20"/>
          <w:szCs w:val="20"/>
          <w:lang w:val="es-ES" w:eastAsia="es-ES"/>
        </w:rPr>
        <w:t>(</w:t>
      </w:r>
      <w:proofErr w:type="spellStart"/>
      <w:r w:rsidRPr="00234504">
        <w:rPr>
          <w:rFonts w:ascii="Arial" w:eastAsia="Times New Roman" w:hAnsi="Arial"/>
          <w:i/>
          <w:sz w:val="20"/>
          <w:szCs w:val="20"/>
          <w:lang w:val="es-ES" w:eastAsia="es-ES"/>
        </w:rPr>
        <w:t>Trade</w:t>
      </w:r>
      <w:proofErr w:type="spellEnd"/>
      <w:r w:rsidRPr="00234504">
        <w:rPr>
          <w:rFonts w:ascii="Arial" w:eastAsia="Times New Roman" w:hAnsi="Arial"/>
          <w:i/>
          <w:sz w:val="20"/>
          <w:szCs w:val="20"/>
          <w:lang w:val="es-ES" w:eastAsia="es-ES"/>
        </w:rPr>
        <w:t xml:space="preserve">-off </w:t>
      </w:r>
      <w:proofErr w:type="spellStart"/>
      <w:r w:rsidRPr="00234504">
        <w:rPr>
          <w:rFonts w:ascii="Arial" w:eastAsia="Times New Roman" w:hAnsi="Arial"/>
          <w:i/>
          <w:sz w:val="20"/>
          <w:szCs w:val="20"/>
          <w:lang w:val="es-ES" w:eastAsia="es-ES"/>
        </w:rPr>
        <w:t>Theory</w:t>
      </w:r>
      <w:proofErr w:type="spellEnd"/>
      <w:r w:rsidRPr="00234504">
        <w:rPr>
          <w:rFonts w:ascii="Arial" w:eastAsia="Times New Roman" w:hAnsi="Arial"/>
          <w:sz w:val="20"/>
          <w:szCs w:val="20"/>
          <w:lang w:val="es-ES" w:eastAsia="es-ES"/>
        </w:rPr>
        <w:t>) sugiere que el endeudamiento genera ciertos efectos positivos en la empresa, dando lugar a una combinación de fuentes de financiación, propias y ajenas, que maximiza el valor de la empresa y minimiza el coste medio de sus recursos. Uno de estos efectos, de especial interés para esta investigación, es la ventaja fiscal que puede representar la utilización de financiación ajena, dado el carácter fiscalmente deduc</w:t>
      </w:r>
      <w:r w:rsidR="00620D6E">
        <w:rPr>
          <w:rFonts w:ascii="Arial" w:eastAsia="Times New Roman" w:hAnsi="Arial"/>
          <w:sz w:val="20"/>
          <w:szCs w:val="20"/>
          <w:lang w:val="es-ES" w:eastAsia="es-ES"/>
        </w:rPr>
        <w:t>ible de los gastos financieros.</w:t>
      </w:r>
    </w:p>
    <w:p w:rsidR="00A573E3" w:rsidRDefault="00A573E3" w:rsidP="00234504">
      <w:pPr>
        <w:pStyle w:val="Prrafodelista"/>
        <w:spacing w:after="0" w:line="240" w:lineRule="auto"/>
        <w:ind w:left="0" w:firstLine="567"/>
        <w:contextualSpacing w:val="0"/>
        <w:jc w:val="both"/>
        <w:rPr>
          <w:rFonts w:ascii="Arial" w:eastAsia="Times New Roman" w:hAnsi="Arial"/>
          <w:sz w:val="20"/>
          <w:szCs w:val="20"/>
          <w:lang w:val="es-ES" w:eastAsia="es-ES"/>
        </w:rPr>
      </w:pPr>
    </w:p>
    <w:p w:rsidR="00234504" w:rsidRDefault="00234504" w:rsidP="00234504">
      <w:pPr>
        <w:pStyle w:val="Prrafodelista"/>
        <w:spacing w:after="0" w:line="240" w:lineRule="auto"/>
        <w:ind w:left="0" w:firstLine="567"/>
        <w:contextualSpacing w:val="0"/>
        <w:jc w:val="both"/>
        <w:rPr>
          <w:rFonts w:ascii="Arial" w:eastAsia="Times New Roman" w:hAnsi="Arial"/>
          <w:sz w:val="20"/>
          <w:szCs w:val="20"/>
          <w:lang w:val="es-ES" w:eastAsia="es-ES"/>
        </w:rPr>
      </w:pPr>
      <w:r w:rsidRPr="00234504">
        <w:rPr>
          <w:rFonts w:ascii="Arial" w:eastAsia="Times New Roman" w:hAnsi="Arial"/>
          <w:sz w:val="20"/>
          <w:szCs w:val="20"/>
          <w:lang w:val="es-ES" w:eastAsia="es-ES"/>
        </w:rPr>
        <w:lastRenderedPageBreak/>
        <w:t xml:space="preserve">Las sociedades cooperativas se hallan sujetas en España a un régimen fiscal sustantivo que les confiere el carácter de entidades protegidas o especialmente protegidas. La minoración de los ingresos fiscales por el pago de los intereses asociados a la deuda podría representar, en principio, un aliciente a favor de la utilización de deuda como fuente de financiación. No obstante, </w:t>
      </w:r>
      <w:proofErr w:type="spellStart"/>
      <w:r w:rsidRPr="00234504">
        <w:rPr>
          <w:rFonts w:ascii="Arial" w:eastAsia="Times New Roman" w:hAnsi="Arial"/>
          <w:sz w:val="20"/>
          <w:szCs w:val="20"/>
          <w:lang w:val="es-ES" w:eastAsia="es-ES"/>
        </w:rPr>
        <w:t>DeAngelo</w:t>
      </w:r>
      <w:proofErr w:type="spellEnd"/>
      <w:r w:rsidRPr="00234504">
        <w:rPr>
          <w:rFonts w:ascii="Arial" w:eastAsia="Times New Roman" w:hAnsi="Arial"/>
          <w:sz w:val="20"/>
          <w:szCs w:val="20"/>
          <w:lang w:val="es-ES" w:eastAsia="es-ES"/>
        </w:rPr>
        <w:t xml:space="preserve"> y </w:t>
      </w:r>
      <w:proofErr w:type="spellStart"/>
      <w:r w:rsidRPr="00234504">
        <w:rPr>
          <w:rFonts w:ascii="Arial" w:eastAsia="Times New Roman" w:hAnsi="Arial"/>
          <w:sz w:val="20"/>
          <w:szCs w:val="20"/>
          <w:lang w:val="es-ES" w:eastAsia="es-ES"/>
        </w:rPr>
        <w:t>Masulis</w:t>
      </w:r>
      <w:proofErr w:type="spellEnd"/>
      <w:r w:rsidRPr="00234504">
        <w:rPr>
          <w:rFonts w:ascii="Arial" w:eastAsia="Times New Roman" w:hAnsi="Arial"/>
          <w:sz w:val="20"/>
          <w:szCs w:val="20"/>
          <w:lang w:val="es-ES" w:eastAsia="es-ES"/>
        </w:rPr>
        <w:t xml:space="preserve"> (1980) sugieren que el incentivo fiscal asociado a la deuda se ve reducido por otro tipo de “protecciones fiscales” (por ejemplo, los gastos por amortización) que pueden constituir un sustituto a las ventajas fiscales asociadas al pago de los intereses financieros. La implicación en la estructura financiera de la empresa y su composición es que las entidades que ya cuenten con importantes incentivos fiscales no asociados a la financiación ajena recurrirán en menor medida a la deuda y, en cualquier caso, aumentarán el plazo de la misma (deuda a largo plazo) como medio para asegurar que las ventajas fiscales resultantes no sean inferiores a los costes de incurrir en nueva deuda a corto plazo.</w:t>
      </w:r>
    </w:p>
    <w:p w:rsidR="00A573E3" w:rsidRPr="00234504" w:rsidRDefault="00A573E3" w:rsidP="00234504">
      <w:pPr>
        <w:pStyle w:val="Prrafodelista"/>
        <w:spacing w:after="0" w:line="240" w:lineRule="auto"/>
        <w:ind w:left="0" w:firstLine="567"/>
        <w:contextualSpacing w:val="0"/>
        <w:jc w:val="both"/>
        <w:rPr>
          <w:rFonts w:ascii="Arial" w:eastAsia="Times New Roman" w:hAnsi="Arial"/>
          <w:sz w:val="20"/>
          <w:szCs w:val="20"/>
          <w:lang w:val="es-ES" w:eastAsia="es-ES"/>
        </w:rPr>
      </w:pPr>
    </w:p>
    <w:p w:rsidR="00234504" w:rsidRDefault="00234504" w:rsidP="00234504">
      <w:pPr>
        <w:pStyle w:val="Prrafodelista"/>
        <w:spacing w:after="0" w:line="240" w:lineRule="auto"/>
        <w:ind w:left="0" w:firstLine="567"/>
        <w:contextualSpacing w:val="0"/>
        <w:jc w:val="both"/>
        <w:rPr>
          <w:rFonts w:ascii="Arial" w:eastAsia="Times New Roman" w:hAnsi="Arial"/>
          <w:sz w:val="20"/>
          <w:szCs w:val="20"/>
          <w:lang w:val="es-ES" w:eastAsia="es-ES"/>
        </w:rPr>
      </w:pPr>
      <w:r w:rsidRPr="00234504">
        <w:rPr>
          <w:rFonts w:ascii="Arial" w:eastAsia="Times New Roman" w:hAnsi="Arial"/>
          <w:sz w:val="20"/>
          <w:szCs w:val="20"/>
          <w:lang w:val="es-ES" w:eastAsia="es-ES"/>
        </w:rPr>
        <w:t xml:space="preserve">Para contrastar esta hipótesis estos autores han sugerido la utilización de los gastos de amortización como variable independiente y, más específicamente, </w:t>
      </w:r>
      <w:proofErr w:type="spellStart"/>
      <w:r w:rsidRPr="00234504">
        <w:rPr>
          <w:rFonts w:ascii="Arial" w:eastAsia="Times New Roman" w:hAnsi="Arial"/>
          <w:sz w:val="20"/>
          <w:szCs w:val="20"/>
          <w:lang w:val="es-ES" w:eastAsia="es-ES"/>
        </w:rPr>
        <w:t>Hol</w:t>
      </w:r>
      <w:proofErr w:type="spellEnd"/>
      <w:r w:rsidRPr="00234504">
        <w:rPr>
          <w:rFonts w:ascii="Arial" w:eastAsia="Times New Roman" w:hAnsi="Arial"/>
          <w:sz w:val="20"/>
          <w:szCs w:val="20"/>
          <w:lang w:val="es-ES" w:eastAsia="es-ES"/>
        </w:rPr>
        <w:t xml:space="preserve"> y Van der </w:t>
      </w:r>
      <w:proofErr w:type="spellStart"/>
      <w:r w:rsidRPr="00234504">
        <w:rPr>
          <w:rFonts w:ascii="Arial" w:eastAsia="Times New Roman" w:hAnsi="Arial"/>
          <w:sz w:val="20"/>
          <w:szCs w:val="20"/>
          <w:lang w:val="es-ES" w:eastAsia="es-ES"/>
        </w:rPr>
        <w:t>Wijst</w:t>
      </w:r>
      <w:proofErr w:type="spellEnd"/>
      <w:r w:rsidRPr="00234504">
        <w:rPr>
          <w:rFonts w:ascii="Arial" w:eastAsia="Times New Roman" w:hAnsi="Arial"/>
          <w:sz w:val="20"/>
          <w:szCs w:val="20"/>
          <w:lang w:val="es-ES" w:eastAsia="es-ES"/>
        </w:rPr>
        <w:t xml:space="preserve"> (2008) proponen utilizar la relación (ratio) entre los gastos de amortización y los gastos totales como variable independiente. Dado que la protección fiscal no asociada al endeudamiento proporciona a las empresas un incentivo para utilizar menos deuda o utilizar mayoritariamente deuda a largo plazo, la hipótesis </w:t>
      </w:r>
      <w:r w:rsidR="000A5B26">
        <w:rPr>
          <w:rFonts w:ascii="Arial" w:eastAsia="Times New Roman" w:hAnsi="Arial"/>
          <w:sz w:val="20"/>
          <w:szCs w:val="20"/>
          <w:lang w:val="es-ES" w:eastAsia="es-ES"/>
        </w:rPr>
        <w:t xml:space="preserve">inicial </w:t>
      </w:r>
      <w:r w:rsidRPr="00234504">
        <w:rPr>
          <w:rFonts w:ascii="Arial" w:eastAsia="Times New Roman" w:hAnsi="Arial"/>
          <w:sz w:val="20"/>
          <w:szCs w:val="20"/>
          <w:lang w:val="es-ES" w:eastAsia="es-ES"/>
        </w:rPr>
        <w:t>es la existencia de una correlación negativa entre los gastos de amortización y la cantidad de deuda total y a corto plazo, y una relación positiva de esta variable con la deuda a largo plazo.</w:t>
      </w:r>
    </w:p>
    <w:p w:rsidR="00687A0A" w:rsidRPr="00234504" w:rsidRDefault="00687A0A" w:rsidP="00234504">
      <w:pPr>
        <w:pStyle w:val="Prrafodelista"/>
        <w:spacing w:after="0" w:line="240" w:lineRule="auto"/>
        <w:ind w:left="0" w:firstLine="567"/>
        <w:contextualSpacing w:val="0"/>
        <w:jc w:val="both"/>
        <w:rPr>
          <w:rFonts w:ascii="Arial" w:eastAsia="Times New Roman" w:hAnsi="Arial"/>
          <w:sz w:val="20"/>
          <w:szCs w:val="20"/>
          <w:lang w:val="es-ES" w:eastAsia="es-ES"/>
        </w:rPr>
      </w:pPr>
    </w:p>
    <w:p w:rsidR="00234504" w:rsidRDefault="00620D6E" w:rsidP="00234504">
      <w:pPr>
        <w:pStyle w:val="Prrafodelista"/>
        <w:spacing w:after="0" w:line="240" w:lineRule="auto"/>
        <w:ind w:left="0" w:firstLine="567"/>
        <w:contextualSpacing w:val="0"/>
        <w:jc w:val="both"/>
        <w:rPr>
          <w:rFonts w:ascii="Arial" w:eastAsia="Times New Roman" w:hAnsi="Arial"/>
          <w:sz w:val="20"/>
          <w:szCs w:val="20"/>
          <w:lang w:val="es-ES" w:eastAsia="es-ES"/>
        </w:rPr>
      </w:pPr>
      <w:r>
        <w:rPr>
          <w:rFonts w:ascii="Arial" w:hAnsi="Arial"/>
          <w:sz w:val="20"/>
          <w:szCs w:val="20"/>
        </w:rPr>
        <w:t>La segunda</w:t>
      </w:r>
      <w:r w:rsidR="00234504" w:rsidRPr="00234504">
        <w:rPr>
          <w:rFonts w:ascii="Arial" w:hAnsi="Arial"/>
          <w:sz w:val="20"/>
          <w:szCs w:val="20"/>
        </w:rPr>
        <w:t xml:space="preserve"> hipótesis a contrastar se refiere al cumplimiento, en las sociedades cooperativas</w:t>
      </w:r>
      <w:r w:rsidR="004F5A99">
        <w:rPr>
          <w:rFonts w:ascii="Arial" w:hAnsi="Arial"/>
          <w:sz w:val="20"/>
          <w:szCs w:val="20"/>
        </w:rPr>
        <w:t xml:space="preserve"> agroalimentarias</w:t>
      </w:r>
      <w:r w:rsidR="00234504" w:rsidRPr="00234504">
        <w:rPr>
          <w:rFonts w:ascii="Arial" w:hAnsi="Arial"/>
          <w:sz w:val="20"/>
          <w:szCs w:val="20"/>
        </w:rPr>
        <w:t xml:space="preserve">, de la </w:t>
      </w:r>
      <w:r w:rsidR="00234504" w:rsidRPr="000A5B26">
        <w:rPr>
          <w:rFonts w:ascii="Arial" w:hAnsi="Arial"/>
          <w:sz w:val="20"/>
          <w:szCs w:val="20"/>
        </w:rPr>
        <w:t>Teoría de la Jerarquización Financiera</w:t>
      </w:r>
      <w:r w:rsidR="00234504" w:rsidRPr="00234504">
        <w:rPr>
          <w:rFonts w:ascii="Arial" w:hAnsi="Arial"/>
          <w:sz w:val="20"/>
          <w:szCs w:val="20"/>
        </w:rPr>
        <w:t xml:space="preserve"> </w:t>
      </w:r>
      <w:r w:rsidR="00234504" w:rsidRPr="00234504">
        <w:rPr>
          <w:rFonts w:ascii="Arial" w:eastAsia="Times New Roman" w:hAnsi="Arial"/>
          <w:sz w:val="20"/>
          <w:szCs w:val="20"/>
          <w:lang w:val="es-ES" w:eastAsia="es-ES"/>
        </w:rPr>
        <w:t>(</w:t>
      </w:r>
      <w:proofErr w:type="spellStart"/>
      <w:r w:rsidR="00234504" w:rsidRPr="00234504">
        <w:rPr>
          <w:rFonts w:ascii="Arial" w:eastAsia="Times New Roman" w:hAnsi="Arial"/>
          <w:i/>
          <w:sz w:val="20"/>
          <w:szCs w:val="20"/>
          <w:lang w:val="es-ES" w:eastAsia="es-ES"/>
        </w:rPr>
        <w:t>Pecking</w:t>
      </w:r>
      <w:proofErr w:type="spellEnd"/>
      <w:r w:rsidR="00234504" w:rsidRPr="00234504">
        <w:rPr>
          <w:rFonts w:ascii="Arial" w:eastAsia="Times New Roman" w:hAnsi="Arial"/>
          <w:i/>
          <w:sz w:val="20"/>
          <w:szCs w:val="20"/>
          <w:lang w:val="es-ES" w:eastAsia="es-ES"/>
        </w:rPr>
        <w:t xml:space="preserve"> </w:t>
      </w:r>
      <w:proofErr w:type="spellStart"/>
      <w:r w:rsidR="00234504" w:rsidRPr="00234504">
        <w:rPr>
          <w:rFonts w:ascii="Arial" w:eastAsia="Times New Roman" w:hAnsi="Arial"/>
          <w:i/>
          <w:sz w:val="20"/>
          <w:szCs w:val="20"/>
          <w:lang w:val="es-ES" w:eastAsia="es-ES"/>
        </w:rPr>
        <w:t>order</w:t>
      </w:r>
      <w:proofErr w:type="spellEnd"/>
      <w:r w:rsidR="00234504" w:rsidRPr="00234504">
        <w:rPr>
          <w:rFonts w:ascii="Arial" w:eastAsia="Times New Roman" w:hAnsi="Arial"/>
          <w:i/>
          <w:sz w:val="20"/>
          <w:szCs w:val="20"/>
          <w:lang w:val="es-ES" w:eastAsia="es-ES"/>
        </w:rPr>
        <w:t xml:space="preserve"> </w:t>
      </w:r>
      <w:proofErr w:type="spellStart"/>
      <w:r w:rsidR="00234504" w:rsidRPr="00234504">
        <w:rPr>
          <w:rFonts w:ascii="Arial" w:eastAsia="Times New Roman" w:hAnsi="Arial"/>
          <w:i/>
          <w:sz w:val="20"/>
          <w:szCs w:val="20"/>
          <w:lang w:val="es-ES" w:eastAsia="es-ES"/>
        </w:rPr>
        <w:t>theory</w:t>
      </w:r>
      <w:proofErr w:type="spellEnd"/>
      <w:r w:rsidR="00234504" w:rsidRPr="00234504">
        <w:rPr>
          <w:rFonts w:ascii="Arial" w:eastAsia="Times New Roman" w:hAnsi="Arial"/>
          <w:sz w:val="20"/>
          <w:szCs w:val="20"/>
          <w:lang w:val="es-ES" w:eastAsia="es-ES"/>
        </w:rPr>
        <w:t xml:space="preserve">). </w:t>
      </w:r>
      <w:r w:rsidR="00234504" w:rsidRPr="00234504">
        <w:rPr>
          <w:rFonts w:ascii="Arial" w:eastAsia="Times New Roman" w:hAnsi="Arial"/>
          <w:i/>
          <w:sz w:val="20"/>
          <w:szCs w:val="20"/>
          <w:lang w:val="es-ES" w:eastAsia="es-ES"/>
        </w:rPr>
        <w:t>A priori,</w:t>
      </w:r>
      <w:r w:rsidR="00234504" w:rsidRPr="00234504">
        <w:rPr>
          <w:rFonts w:ascii="Arial" w:eastAsia="Times New Roman" w:hAnsi="Arial"/>
          <w:sz w:val="20"/>
          <w:szCs w:val="20"/>
          <w:lang w:val="es-ES" w:eastAsia="es-ES"/>
        </w:rPr>
        <w:t xml:space="preserve"> el comportamiento generalizado de este tipo de entidades, en las que suelen primar los objetivos a corto plazo vía precios de liquidación en detrimento de una orientación empresarial a largo plazo cuya prioridad sea la solidez financiera de la entidad, parecen apuntar a un comportamiento contrario a la teoría señalada. No parece que la autofinanciación a través de los beneficios generados constituya la primera opción de financiación para estas entidades, que conceden a la generación de excedentes una relevancia minoritaria en relación al reparto de estos beneficios vía precios de liquidación. Por ello, en este caso, es previsible la existencia de una relación (significativa o no) inversa entre el endeudamiento y el nivel de capitalización, que serán las fuentes de financiación predominantes ante la ausencia de financiación interna. </w:t>
      </w:r>
    </w:p>
    <w:p w:rsidR="00687A0A" w:rsidRPr="00234504" w:rsidRDefault="00687A0A" w:rsidP="00234504">
      <w:pPr>
        <w:pStyle w:val="Prrafodelista"/>
        <w:spacing w:after="0" w:line="240" w:lineRule="auto"/>
        <w:ind w:left="0" w:firstLine="567"/>
        <w:contextualSpacing w:val="0"/>
        <w:jc w:val="both"/>
        <w:rPr>
          <w:rFonts w:ascii="Arial" w:eastAsia="Times New Roman" w:hAnsi="Arial"/>
          <w:sz w:val="20"/>
          <w:szCs w:val="20"/>
          <w:lang w:val="es-ES" w:eastAsia="es-ES"/>
        </w:rPr>
      </w:pPr>
    </w:p>
    <w:p w:rsidR="00234504" w:rsidRDefault="00234504" w:rsidP="00234504">
      <w:pPr>
        <w:pStyle w:val="Prrafodelista"/>
        <w:spacing w:after="0" w:line="240" w:lineRule="auto"/>
        <w:ind w:left="0" w:firstLine="567"/>
        <w:contextualSpacing w:val="0"/>
        <w:jc w:val="both"/>
        <w:rPr>
          <w:rFonts w:ascii="Arial" w:hAnsi="Arial"/>
          <w:sz w:val="20"/>
          <w:szCs w:val="20"/>
        </w:rPr>
      </w:pPr>
      <w:r w:rsidRPr="00234504">
        <w:rPr>
          <w:rFonts w:ascii="Arial" w:hAnsi="Arial"/>
          <w:sz w:val="20"/>
          <w:szCs w:val="20"/>
        </w:rPr>
        <w:t>Para contrastar la hipótesis de la</w:t>
      </w:r>
      <w:r w:rsidRPr="000A5B26">
        <w:rPr>
          <w:rFonts w:ascii="Arial" w:hAnsi="Arial"/>
          <w:i/>
          <w:sz w:val="20"/>
          <w:szCs w:val="20"/>
        </w:rPr>
        <w:t xml:space="preserve"> Teoría de la agencia</w:t>
      </w:r>
      <w:r w:rsidRPr="00234504">
        <w:rPr>
          <w:rFonts w:ascii="Arial" w:hAnsi="Arial"/>
          <w:b/>
          <w:sz w:val="20"/>
          <w:szCs w:val="20"/>
        </w:rPr>
        <w:t xml:space="preserve"> </w:t>
      </w:r>
      <w:r w:rsidRPr="00234504">
        <w:rPr>
          <w:rFonts w:ascii="Arial" w:hAnsi="Arial"/>
          <w:sz w:val="20"/>
          <w:szCs w:val="20"/>
        </w:rPr>
        <w:t xml:space="preserve">sugerida por Jensen </w:t>
      </w:r>
      <w:r w:rsidR="00687A0A">
        <w:rPr>
          <w:rFonts w:ascii="Arial" w:hAnsi="Arial"/>
          <w:sz w:val="20"/>
          <w:szCs w:val="20"/>
        </w:rPr>
        <w:t xml:space="preserve">(1986) </w:t>
      </w:r>
      <w:r w:rsidRPr="00234504">
        <w:rPr>
          <w:rFonts w:ascii="Arial" w:hAnsi="Arial"/>
          <w:sz w:val="20"/>
          <w:szCs w:val="20"/>
        </w:rPr>
        <w:t>en relación con los flujos de caja libre generados</w:t>
      </w:r>
      <w:r w:rsidR="00687A0A">
        <w:rPr>
          <w:rStyle w:val="Refdenotaalpie"/>
          <w:rFonts w:ascii="Arial" w:hAnsi="Arial"/>
          <w:sz w:val="20"/>
          <w:szCs w:val="20"/>
        </w:rPr>
        <w:footnoteReference w:id="1"/>
      </w:r>
      <w:r w:rsidRPr="00234504">
        <w:rPr>
          <w:rFonts w:ascii="Arial" w:hAnsi="Arial"/>
          <w:sz w:val="20"/>
          <w:szCs w:val="20"/>
        </w:rPr>
        <w:t>, se ha recurrido a la utilización del crecimiento de las ventas como variable independiente (</w:t>
      </w:r>
      <w:proofErr w:type="spellStart"/>
      <w:r w:rsidRPr="00234504">
        <w:rPr>
          <w:rFonts w:ascii="Arial" w:hAnsi="Arial"/>
          <w:sz w:val="20"/>
          <w:szCs w:val="20"/>
        </w:rPr>
        <w:t>Scherr</w:t>
      </w:r>
      <w:proofErr w:type="spellEnd"/>
      <w:r w:rsidRPr="00234504">
        <w:rPr>
          <w:rFonts w:ascii="Arial" w:hAnsi="Arial"/>
          <w:sz w:val="20"/>
          <w:szCs w:val="20"/>
        </w:rPr>
        <w:t xml:space="preserve"> y </w:t>
      </w:r>
      <w:proofErr w:type="spellStart"/>
      <w:r w:rsidRPr="00234504">
        <w:rPr>
          <w:rFonts w:ascii="Arial" w:hAnsi="Arial"/>
          <w:sz w:val="20"/>
          <w:szCs w:val="20"/>
        </w:rPr>
        <w:t>Hulburt</w:t>
      </w:r>
      <w:proofErr w:type="spellEnd"/>
      <w:r w:rsidRPr="00234504">
        <w:rPr>
          <w:rFonts w:ascii="Arial" w:hAnsi="Arial"/>
          <w:sz w:val="20"/>
          <w:szCs w:val="20"/>
        </w:rPr>
        <w:t>, 2001). La idea que subyace en este planteamiento es que la generación de flujos de caja libres, es decir, los flujos de caja excedentarios una vez que se han atendido los requerimientos de la financiación, incentiva el reparto de dividendos (retornos en sociedades cooperativas). La utilización de la variable propuesta asume implícitamente que incrementos de las ventas del pasado se mantienen en el futuro. La implicación empírica es que tasas elevadas de crecimiento de las ventas están asociadas con un menor nivel de endeudamiento, primando la deuda a corto plazo en detrimento del largo plazo.</w:t>
      </w:r>
    </w:p>
    <w:p w:rsidR="00687A0A" w:rsidRPr="00234504" w:rsidRDefault="00687A0A" w:rsidP="00234504">
      <w:pPr>
        <w:pStyle w:val="Prrafodelista"/>
        <w:spacing w:after="0" w:line="240" w:lineRule="auto"/>
        <w:ind w:left="0" w:firstLine="567"/>
        <w:contextualSpacing w:val="0"/>
        <w:jc w:val="both"/>
        <w:rPr>
          <w:rFonts w:ascii="Arial" w:hAnsi="Arial"/>
          <w:sz w:val="20"/>
          <w:szCs w:val="20"/>
        </w:rPr>
      </w:pPr>
    </w:p>
    <w:p w:rsidR="00234504" w:rsidRDefault="00234504" w:rsidP="00234504">
      <w:pPr>
        <w:pStyle w:val="Prrafodelista"/>
        <w:spacing w:after="0" w:line="240" w:lineRule="auto"/>
        <w:ind w:left="0" w:firstLine="567"/>
        <w:contextualSpacing w:val="0"/>
        <w:jc w:val="both"/>
        <w:rPr>
          <w:rFonts w:ascii="Arial" w:hAnsi="Arial"/>
          <w:sz w:val="20"/>
          <w:szCs w:val="20"/>
        </w:rPr>
      </w:pPr>
      <w:r w:rsidRPr="00234504">
        <w:rPr>
          <w:rFonts w:ascii="Arial" w:hAnsi="Arial"/>
          <w:sz w:val="20"/>
          <w:szCs w:val="20"/>
        </w:rPr>
        <w:t xml:space="preserve">En relación con la composición de la deuda, diversos autores han evidenciado que el emparejamiento entre los vencimientos de la deuda y los activos reduce los costes de agencia de dicha deuda (Myers, 1977; </w:t>
      </w:r>
      <w:proofErr w:type="spellStart"/>
      <w:r w:rsidRPr="00234504">
        <w:rPr>
          <w:rFonts w:ascii="Arial" w:hAnsi="Arial"/>
          <w:sz w:val="20"/>
          <w:szCs w:val="20"/>
        </w:rPr>
        <w:t>Stohs</w:t>
      </w:r>
      <w:proofErr w:type="spellEnd"/>
      <w:r w:rsidRPr="00234504">
        <w:rPr>
          <w:rFonts w:ascii="Arial" w:hAnsi="Arial"/>
          <w:sz w:val="20"/>
          <w:szCs w:val="20"/>
        </w:rPr>
        <w:t xml:space="preserve"> y </w:t>
      </w:r>
      <w:proofErr w:type="spellStart"/>
      <w:r w:rsidRPr="00234504">
        <w:rPr>
          <w:rFonts w:ascii="Arial" w:hAnsi="Arial"/>
          <w:sz w:val="20"/>
          <w:szCs w:val="20"/>
        </w:rPr>
        <w:t>Mauer</w:t>
      </w:r>
      <w:proofErr w:type="spellEnd"/>
      <w:r w:rsidRPr="00234504">
        <w:rPr>
          <w:rFonts w:ascii="Arial" w:hAnsi="Arial"/>
          <w:sz w:val="20"/>
          <w:szCs w:val="20"/>
        </w:rPr>
        <w:t>, 1996). Es decir, que la existencia de un equilibrio entre el plazo de vencimiento de la deuda y la composición del activo (corriente / no corriente) reducirá los riesgos de insolvencia (en caso de que el vencimiento de la deuda sea anterior a la liquidez de los activos) y adecuará la estructura financiera a la estructura económica (activo). Para evaluar empíricamente esta hipótesis del</w:t>
      </w:r>
      <w:r w:rsidRPr="000A5B26">
        <w:rPr>
          <w:rFonts w:ascii="Arial" w:hAnsi="Arial"/>
          <w:sz w:val="20"/>
          <w:szCs w:val="20"/>
        </w:rPr>
        <w:t xml:space="preserve"> emparejamiento por vencimientos </w:t>
      </w:r>
      <w:r w:rsidRPr="00234504">
        <w:rPr>
          <w:rFonts w:ascii="Arial" w:hAnsi="Arial"/>
          <w:sz w:val="20"/>
          <w:szCs w:val="20"/>
        </w:rPr>
        <w:t>(</w:t>
      </w:r>
      <w:r w:rsidRPr="00234504">
        <w:rPr>
          <w:rFonts w:ascii="Arial" w:hAnsi="Arial"/>
          <w:i/>
          <w:sz w:val="20"/>
          <w:szCs w:val="20"/>
        </w:rPr>
        <w:t>“</w:t>
      </w:r>
      <w:proofErr w:type="spellStart"/>
      <w:r w:rsidRPr="00234504">
        <w:rPr>
          <w:rFonts w:ascii="Arial" w:hAnsi="Arial"/>
          <w:i/>
          <w:sz w:val="20"/>
          <w:szCs w:val="20"/>
        </w:rPr>
        <w:t>maturity</w:t>
      </w:r>
      <w:proofErr w:type="spellEnd"/>
      <w:r w:rsidRPr="00234504">
        <w:rPr>
          <w:rFonts w:ascii="Arial" w:hAnsi="Arial"/>
          <w:i/>
          <w:sz w:val="20"/>
          <w:szCs w:val="20"/>
        </w:rPr>
        <w:t xml:space="preserve"> </w:t>
      </w:r>
      <w:proofErr w:type="spellStart"/>
      <w:r w:rsidRPr="00234504">
        <w:rPr>
          <w:rFonts w:ascii="Arial" w:hAnsi="Arial"/>
          <w:i/>
          <w:sz w:val="20"/>
          <w:szCs w:val="20"/>
        </w:rPr>
        <w:t>matching</w:t>
      </w:r>
      <w:proofErr w:type="spellEnd"/>
      <w:r w:rsidRPr="00234504">
        <w:rPr>
          <w:rFonts w:ascii="Arial" w:hAnsi="Arial"/>
          <w:i/>
          <w:sz w:val="20"/>
          <w:szCs w:val="20"/>
        </w:rPr>
        <w:t xml:space="preserve"> </w:t>
      </w:r>
      <w:proofErr w:type="spellStart"/>
      <w:r w:rsidRPr="00234504">
        <w:rPr>
          <w:rFonts w:ascii="Arial" w:hAnsi="Arial"/>
          <w:i/>
          <w:sz w:val="20"/>
          <w:szCs w:val="20"/>
        </w:rPr>
        <w:t>principle</w:t>
      </w:r>
      <w:proofErr w:type="spellEnd"/>
      <w:r w:rsidRPr="00234504">
        <w:rPr>
          <w:rFonts w:ascii="Arial" w:hAnsi="Arial"/>
          <w:i/>
          <w:sz w:val="20"/>
          <w:szCs w:val="20"/>
        </w:rPr>
        <w:t>”</w:t>
      </w:r>
      <w:r w:rsidRPr="00234504">
        <w:rPr>
          <w:rFonts w:ascii="Arial" w:hAnsi="Arial"/>
          <w:sz w:val="20"/>
          <w:szCs w:val="20"/>
        </w:rPr>
        <w:t xml:space="preserve">) se ha recurrido a la variable que analiza la composición del activo de la entidad, es decir, la relación entre el activo corriente y el activo total. La hipótesis a contrastar </w:t>
      </w:r>
      <w:r w:rsidRPr="00234504">
        <w:rPr>
          <w:rFonts w:ascii="Arial" w:hAnsi="Arial"/>
          <w:sz w:val="20"/>
          <w:szCs w:val="20"/>
        </w:rPr>
        <w:lastRenderedPageBreak/>
        <w:t>es la existencia de una correlación positiva entre este ratio y la cantidad de deuda a corto plazo, y negativa en el caso de la deuda a largo plazo.</w:t>
      </w:r>
    </w:p>
    <w:p w:rsidR="00687A0A" w:rsidRPr="00234504" w:rsidRDefault="00687A0A" w:rsidP="00234504">
      <w:pPr>
        <w:pStyle w:val="Prrafodelista"/>
        <w:spacing w:after="0" w:line="240" w:lineRule="auto"/>
        <w:ind w:left="0" w:firstLine="567"/>
        <w:contextualSpacing w:val="0"/>
        <w:jc w:val="both"/>
        <w:rPr>
          <w:rFonts w:ascii="Arial" w:hAnsi="Arial"/>
          <w:sz w:val="20"/>
          <w:szCs w:val="20"/>
        </w:rPr>
      </w:pPr>
    </w:p>
    <w:p w:rsidR="00234504" w:rsidRDefault="00234504" w:rsidP="00234504">
      <w:pPr>
        <w:pStyle w:val="Prrafodelista"/>
        <w:spacing w:after="0" w:line="240" w:lineRule="auto"/>
        <w:ind w:left="0" w:firstLine="567"/>
        <w:contextualSpacing w:val="0"/>
        <w:jc w:val="both"/>
        <w:rPr>
          <w:rFonts w:ascii="Arial" w:hAnsi="Arial"/>
          <w:sz w:val="20"/>
          <w:szCs w:val="20"/>
        </w:rPr>
      </w:pPr>
      <w:r w:rsidRPr="00234504">
        <w:rPr>
          <w:rFonts w:ascii="Arial" w:hAnsi="Arial"/>
          <w:sz w:val="20"/>
          <w:szCs w:val="20"/>
        </w:rPr>
        <w:t>Directamente relacionada con la hipótesis anterior es preciso contrastar la relación existente entre la liquidez de la entidad y la composición de la deuda en su estructura financiera. Para estudiar esta relación se ha recurrido a los ratios de liquidez, es decir, a las relaciones entre las magnitudes contables que evalúan la capacidad de la entidad para atender sus obligaciones más inmediatas con sus activos más líquidos. La hipótesis es que exista una relación positiva entre los ratios de liquidez y el endeudamiento a corto plazo.</w:t>
      </w:r>
    </w:p>
    <w:p w:rsidR="00687A0A" w:rsidRPr="00234504" w:rsidRDefault="00687A0A" w:rsidP="00234504">
      <w:pPr>
        <w:pStyle w:val="Prrafodelista"/>
        <w:spacing w:after="0" w:line="240" w:lineRule="auto"/>
        <w:ind w:left="0" w:firstLine="567"/>
        <w:contextualSpacing w:val="0"/>
        <w:jc w:val="both"/>
        <w:rPr>
          <w:rFonts w:ascii="Arial" w:hAnsi="Arial"/>
          <w:sz w:val="20"/>
          <w:szCs w:val="20"/>
        </w:rPr>
      </w:pPr>
    </w:p>
    <w:p w:rsidR="00687A0A" w:rsidRDefault="00234504" w:rsidP="00234504">
      <w:pPr>
        <w:pStyle w:val="Prrafodelista"/>
        <w:spacing w:after="0" w:line="240" w:lineRule="auto"/>
        <w:ind w:left="0" w:firstLine="567"/>
        <w:contextualSpacing w:val="0"/>
        <w:jc w:val="both"/>
        <w:rPr>
          <w:rFonts w:ascii="Arial" w:hAnsi="Arial"/>
          <w:sz w:val="20"/>
          <w:szCs w:val="20"/>
        </w:rPr>
      </w:pPr>
      <w:r w:rsidRPr="00234504">
        <w:rPr>
          <w:rFonts w:ascii="Arial" w:hAnsi="Arial"/>
          <w:sz w:val="20"/>
          <w:szCs w:val="20"/>
        </w:rPr>
        <w:t xml:space="preserve">Tradicionalmente, el </w:t>
      </w:r>
      <w:r w:rsidRPr="000A5B26">
        <w:rPr>
          <w:rFonts w:ascii="Arial" w:hAnsi="Arial"/>
          <w:i/>
          <w:sz w:val="20"/>
          <w:szCs w:val="20"/>
        </w:rPr>
        <w:t>tamaño</w:t>
      </w:r>
      <w:r w:rsidRPr="00234504">
        <w:rPr>
          <w:rFonts w:ascii="Arial" w:hAnsi="Arial"/>
          <w:sz w:val="20"/>
          <w:szCs w:val="20"/>
        </w:rPr>
        <w:t xml:space="preserve"> de la entidad ha sido una variable recurrente en los estudios empíricos sobre la estructura financiera de la empresa, si bien sus implicaciones reales no han quedado demostradas de forma concluyente (</w:t>
      </w:r>
      <w:proofErr w:type="spellStart"/>
      <w:r w:rsidRPr="00234504">
        <w:rPr>
          <w:rFonts w:ascii="Arial" w:hAnsi="Arial"/>
          <w:sz w:val="20"/>
          <w:szCs w:val="20"/>
        </w:rPr>
        <w:t>Hol</w:t>
      </w:r>
      <w:proofErr w:type="spellEnd"/>
      <w:r w:rsidRPr="00234504">
        <w:rPr>
          <w:rFonts w:ascii="Arial" w:hAnsi="Arial"/>
          <w:sz w:val="20"/>
          <w:szCs w:val="20"/>
        </w:rPr>
        <w:t xml:space="preserve"> y Van Der </w:t>
      </w:r>
      <w:proofErr w:type="spellStart"/>
      <w:r w:rsidRPr="00234504">
        <w:rPr>
          <w:rFonts w:ascii="Arial" w:hAnsi="Arial"/>
          <w:sz w:val="20"/>
          <w:szCs w:val="20"/>
        </w:rPr>
        <w:t>Wijst</w:t>
      </w:r>
      <w:proofErr w:type="spellEnd"/>
      <w:r w:rsidRPr="00234504">
        <w:rPr>
          <w:rFonts w:ascii="Arial" w:hAnsi="Arial"/>
          <w:sz w:val="20"/>
          <w:szCs w:val="20"/>
        </w:rPr>
        <w:t>, 2008). La mayoría de los trabajos publicados sugieren una relación positiva entre el tamaño de la empresa y el nivel de endeudamiento, lo que parece justificarse por la posibilidad de las grandes empresas de lograr economías de escala a través del endeudamiento a largo plazo o sus mayores facilidades de acceso a los mercados de</w:t>
      </w:r>
      <w:r w:rsidR="00687A0A">
        <w:rPr>
          <w:rFonts w:ascii="Arial" w:hAnsi="Arial"/>
          <w:sz w:val="20"/>
          <w:szCs w:val="20"/>
        </w:rPr>
        <w:t xml:space="preserve"> capital, entre otros aspectos.</w:t>
      </w:r>
    </w:p>
    <w:p w:rsidR="00687A0A" w:rsidRDefault="00687A0A" w:rsidP="00234504">
      <w:pPr>
        <w:pStyle w:val="Prrafodelista"/>
        <w:spacing w:after="0" w:line="240" w:lineRule="auto"/>
        <w:ind w:left="0" w:firstLine="567"/>
        <w:contextualSpacing w:val="0"/>
        <w:jc w:val="both"/>
        <w:rPr>
          <w:rFonts w:ascii="Arial" w:hAnsi="Arial"/>
          <w:sz w:val="20"/>
          <w:szCs w:val="20"/>
        </w:rPr>
      </w:pPr>
    </w:p>
    <w:p w:rsidR="00234504" w:rsidRPr="00234504" w:rsidRDefault="00234504" w:rsidP="00234504">
      <w:pPr>
        <w:pStyle w:val="Prrafodelista"/>
        <w:spacing w:after="0" w:line="240" w:lineRule="auto"/>
        <w:ind w:left="0" w:firstLine="567"/>
        <w:contextualSpacing w:val="0"/>
        <w:jc w:val="both"/>
        <w:rPr>
          <w:rFonts w:ascii="Arial" w:hAnsi="Arial"/>
          <w:sz w:val="20"/>
          <w:szCs w:val="20"/>
        </w:rPr>
      </w:pPr>
      <w:r w:rsidRPr="00234504">
        <w:rPr>
          <w:rFonts w:ascii="Arial" w:hAnsi="Arial"/>
          <w:sz w:val="20"/>
          <w:szCs w:val="20"/>
        </w:rPr>
        <w:t>En el caso concreto de las cooperativas agrarias, trabajos previos (Mateos</w:t>
      </w:r>
      <w:r w:rsidR="00C2288B">
        <w:rPr>
          <w:rFonts w:ascii="Arial" w:hAnsi="Arial"/>
          <w:sz w:val="20"/>
          <w:szCs w:val="20"/>
        </w:rPr>
        <w:t>-Ronco</w:t>
      </w:r>
      <w:r w:rsidRPr="00234504">
        <w:rPr>
          <w:rFonts w:ascii="Arial" w:hAnsi="Arial"/>
          <w:sz w:val="20"/>
          <w:szCs w:val="20"/>
        </w:rPr>
        <w:t xml:space="preserve"> y Lajara</w:t>
      </w:r>
      <w:r w:rsidR="00C2288B">
        <w:rPr>
          <w:rFonts w:ascii="Arial" w:hAnsi="Arial"/>
          <w:sz w:val="20"/>
          <w:szCs w:val="20"/>
        </w:rPr>
        <w:t>-Camilleri</w:t>
      </w:r>
      <w:r w:rsidRPr="00234504">
        <w:rPr>
          <w:rFonts w:ascii="Arial" w:hAnsi="Arial"/>
          <w:sz w:val="20"/>
          <w:szCs w:val="20"/>
        </w:rPr>
        <w:t xml:space="preserve">, 2011) han revelado la existencia de diferencias significativas en su estructura financiera en función del tamaño de la entidad, siendo las cooperativas </w:t>
      </w:r>
      <w:r w:rsidRPr="00234504">
        <w:rPr>
          <w:rFonts w:ascii="Arial" w:hAnsi="Arial"/>
          <w:i/>
          <w:sz w:val="20"/>
          <w:szCs w:val="20"/>
        </w:rPr>
        <w:t>medianas</w:t>
      </w:r>
      <w:r w:rsidRPr="00234504">
        <w:rPr>
          <w:rFonts w:ascii="Arial" w:hAnsi="Arial"/>
          <w:sz w:val="20"/>
          <w:szCs w:val="20"/>
        </w:rPr>
        <w:t xml:space="preserve"> las que presentan un mayor porcentaje de recursos ajenos. Sin embargo otros autores (Encinas </w:t>
      </w:r>
      <w:r w:rsidRPr="00234504">
        <w:rPr>
          <w:rFonts w:ascii="Arial" w:hAnsi="Arial"/>
          <w:i/>
          <w:sz w:val="20"/>
          <w:szCs w:val="20"/>
        </w:rPr>
        <w:t>et al.,</w:t>
      </w:r>
      <w:r w:rsidRPr="00234504">
        <w:rPr>
          <w:rFonts w:ascii="Arial" w:hAnsi="Arial"/>
          <w:sz w:val="20"/>
          <w:szCs w:val="20"/>
        </w:rPr>
        <w:t xml:space="preserve"> 2010) no aprecian, sobre una muestra de cooperativas hortofrutícolas, una relación clara entre el tamaño de las cooperativas y su desempeño económico-financiero. Tampoco hay evidencias concluyentes sobre la relación entre el tamaño de la cooperativa y su eficiencia. </w:t>
      </w:r>
      <w:proofErr w:type="spellStart"/>
      <w:r w:rsidRPr="00234504">
        <w:rPr>
          <w:rFonts w:ascii="Arial" w:hAnsi="Arial"/>
          <w:sz w:val="20"/>
          <w:szCs w:val="20"/>
        </w:rPr>
        <w:t>Galdeano</w:t>
      </w:r>
      <w:proofErr w:type="spellEnd"/>
      <w:r w:rsidRPr="00234504">
        <w:rPr>
          <w:rFonts w:ascii="Arial" w:hAnsi="Arial"/>
          <w:sz w:val="20"/>
          <w:szCs w:val="20"/>
        </w:rPr>
        <w:t xml:space="preserve"> (2006) identifica una relación positiva entre ambas variables, aunque no significativa, y establece relaciones con otros estudios empíricos que alcanzan la misma conclusión.</w:t>
      </w:r>
    </w:p>
    <w:p w:rsidR="00687A0A" w:rsidRDefault="00687A0A" w:rsidP="00234504">
      <w:pPr>
        <w:pStyle w:val="Prrafodelista"/>
        <w:spacing w:after="0" w:line="240" w:lineRule="auto"/>
        <w:ind w:left="0" w:firstLine="567"/>
        <w:contextualSpacing w:val="0"/>
        <w:jc w:val="both"/>
        <w:rPr>
          <w:rFonts w:ascii="Arial" w:hAnsi="Arial"/>
          <w:sz w:val="20"/>
          <w:szCs w:val="20"/>
        </w:rPr>
      </w:pPr>
    </w:p>
    <w:p w:rsidR="00234504" w:rsidRDefault="00234504" w:rsidP="00234504">
      <w:pPr>
        <w:pStyle w:val="Prrafodelista"/>
        <w:spacing w:after="0" w:line="240" w:lineRule="auto"/>
        <w:ind w:left="0" w:firstLine="567"/>
        <w:contextualSpacing w:val="0"/>
        <w:jc w:val="both"/>
        <w:rPr>
          <w:rFonts w:ascii="Arial" w:hAnsi="Arial"/>
          <w:sz w:val="20"/>
          <w:szCs w:val="20"/>
        </w:rPr>
      </w:pPr>
      <w:r w:rsidRPr="00234504">
        <w:rPr>
          <w:rFonts w:ascii="Arial" w:hAnsi="Arial"/>
          <w:sz w:val="20"/>
          <w:szCs w:val="20"/>
        </w:rPr>
        <w:t xml:space="preserve">Para evaluar la posible incidencia del tamaño de la cooperativa en su nivel de endeudamiento, así como en la composición del mismo, se ha utilizado como variable el logaritmo del valor contable del activo total de la entidad, así como la misma variable pero referida al ejercicio precedente. La hipótesis más generalizada parece sugerir una relación positiva entre el endeudamiento a largo plazo y el tamaño de la cooperativa, así como un efecto no significativo o incluso negativo en el caso del endeudamiento a corto plazo. </w:t>
      </w:r>
    </w:p>
    <w:p w:rsidR="00687A0A" w:rsidRPr="00234504" w:rsidRDefault="00687A0A" w:rsidP="00234504">
      <w:pPr>
        <w:pStyle w:val="Prrafodelista"/>
        <w:spacing w:after="0" w:line="240" w:lineRule="auto"/>
        <w:ind w:left="0" w:firstLine="567"/>
        <w:contextualSpacing w:val="0"/>
        <w:jc w:val="both"/>
        <w:rPr>
          <w:rFonts w:ascii="Arial" w:hAnsi="Arial"/>
          <w:sz w:val="20"/>
          <w:szCs w:val="20"/>
        </w:rPr>
      </w:pPr>
    </w:p>
    <w:p w:rsidR="00C2288B" w:rsidRPr="00C2288B" w:rsidRDefault="00B67BDF" w:rsidP="00C2288B">
      <w:pPr>
        <w:pStyle w:val="Prrafodelista"/>
        <w:spacing w:after="0" w:line="240" w:lineRule="auto"/>
        <w:ind w:left="0" w:firstLine="567"/>
        <w:contextualSpacing w:val="0"/>
        <w:jc w:val="both"/>
        <w:rPr>
          <w:rFonts w:ascii="Arial" w:eastAsia="Times New Roman" w:hAnsi="Arial"/>
          <w:sz w:val="20"/>
          <w:szCs w:val="20"/>
          <w:lang w:val="es-ES" w:eastAsia="es-ES"/>
        </w:rPr>
      </w:pPr>
      <w:r w:rsidRPr="00234504">
        <w:rPr>
          <w:rFonts w:ascii="Arial" w:eastAsia="Times New Roman" w:hAnsi="Arial"/>
          <w:sz w:val="20"/>
          <w:szCs w:val="20"/>
          <w:lang w:val="es-ES" w:eastAsia="es-ES"/>
        </w:rPr>
        <w:t xml:space="preserve">A la vista de los resultados arrojados por el marco teórico, entendemos que a nivel microeconómico quedan cuestiones por resolver en relación con la caracterización de la estructura financiera de las empresas, pues los distintos tipos de financiación y su efecto sobre las magnitudes clave de las mismas pueden diferir según la tipología empresarial analizada. De hecho, de la revisión bibliográfica realizada parece concluirse que los resultados obtenidos en cada uno de los trabajos empíricos publicados resultan difícilmente extrapolables a otras muestras de empresas, de diferentes sectores de actividad o tipología empresarial. Por este motivo, el presente trabajo pretende contribuir al avance en el conocimiento de la estructura financiera de las sociedades cooperativas del sector agrario español. </w:t>
      </w:r>
    </w:p>
    <w:p w:rsidR="000A5B26" w:rsidRDefault="000A5B26" w:rsidP="00E46132">
      <w:pPr>
        <w:pStyle w:val="Textoindependiente"/>
        <w:spacing w:before="0" w:after="0"/>
        <w:rPr>
          <w:rFonts w:ascii="Arial" w:hAnsi="Arial"/>
          <w:b/>
          <w:sz w:val="20"/>
          <w:szCs w:val="20"/>
        </w:rPr>
      </w:pPr>
    </w:p>
    <w:p w:rsidR="002E14E4" w:rsidRPr="00E46132" w:rsidRDefault="002E14E4" w:rsidP="00E46132">
      <w:pPr>
        <w:pStyle w:val="Textoindependiente"/>
        <w:spacing w:before="0" w:after="0"/>
        <w:rPr>
          <w:rFonts w:ascii="Arial" w:hAnsi="Arial"/>
          <w:b/>
          <w:sz w:val="20"/>
          <w:szCs w:val="20"/>
        </w:rPr>
      </w:pPr>
    </w:p>
    <w:p w:rsidR="00E46132" w:rsidRDefault="00E46132" w:rsidP="004A292E">
      <w:pPr>
        <w:pStyle w:val="Textoindependiente"/>
        <w:numPr>
          <w:ilvl w:val="0"/>
          <w:numId w:val="2"/>
        </w:numPr>
        <w:spacing w:before="0" w:after="0"/>
        <w:rPr>
          <w:rFonts w:ascii="Arial" w:hAnsi="Arial"/>
          <w:b/>
          <w:sz w:val="20"/>
          <w:szCs w:val="20"/>
        </w:rPr>
      </w:pPr>
      <w:r w:rsidRPr="00E46132">
        <w:rPr>
          <w:rFonts w:ascii="Arial" w:hAnsi="Arial"/>
          <w:b/>
          <w:sz w:val="20"/>
          <w:szCs w:val="20"/>
        </w:rPr>
        <w:t>Metodología de la investigación</w:t>
      </w:r>
    </w:p>
    <w:p w:rsidR="000B1F52" w:rsidRPr="00E46132" w:rsidRDefault="000B1F52" w:rsidP="000B1F52">
      <w:pPr>
        <w:pStyle w:val="Textoindependiente"/>
        <w:spacing w:before="0" w:after="0"/>
        <w:rPr>
          <w:rFonts w:ascii="Arial" w:hAnsi="Arial"/>
          <w:b/>
          <w:sz w:val="20"/>
          <w:szCs w:val="20"/>
        </w:rPr>
      </w:pPr>
    </w:p>
    <w:p w:rsidR="002E14E4" w:rsidRDefault="00E46132" w:rsidP="002E14E4">
      <w:pPr>
        <w:pStyle w:val="Ttulo2"/>
        <w:numPr>
          <w:ilvl w:val="1"/>
          <w:numId w:val="2"/>
        </w:numPr>
        <w:tabs>
          <w:tab w:val="left" w:pos="993"/>
        </w:tabs>
        <w:spacing w:before="0" w:after="0"/>
        <w:ind w:left="993" w:hanging="426"/>
        <w:rPr>
          <w:rFonts w:ascii="Arial" w:hAnsi="Arial"/>
          <w:sz w:val="20"/>
          <w:szCs w:val="20"/>
        </w:rPr>
      </w:pPr>
      <w:r w:rsidRPr="00E46132">
        <w:rPr>
          <w:rFonts w:ascii="Arial" w:hAnsi="Arial"/>
          <w:sz w:val="20"/>
          <w:szCs w:val="20"/>
        </w:rPr>
        <w:t>Selección de la</w:t>
      </w:r>
      <w:r w:rsidR="0048332B">
        <w:rPr>
          <w:rFonts w:ascii="Arial" w:hAnsi="Arial"/>
          <w:sz w:val="20"/>
          <w:szCs w:val="20"/>
        </w:rPr>
        <w:t>s</w:t>
      </w:r>
      <w:r w:rsidRPr="00E46132">
        <w:rPr>
          <w:rFonts w:ascii="Arial" w:hAnsi="Arial"/>
          <w:sz w:val="20"/>
          <w:szCs w:val="20"/>
        </w:rPr>
        <w:t xml:space="preserve"> muestra</w:t>
      </w:r>
      <w:r w:rsidR="0048332B">
        <w:rPr>
          <w:rFonts w:ascii="Arial" w:hAnsi="Arial"/>
          <w:sz w:val="20"/>
          <w:szCs w:val="20"/>
        </w:rPr>
        <w:t>s</w:t>
      </w:r>
    </w:p>
    <w:p w:rsidR="002E14E4" w:rsidRPr="002E14E4" w:rsidRDefault="002E14E4" w:rsidP="002E14E4">
      <w:pPr>
        <w:pStyle w:val="Textoindependiente"/>
        <w:spacing w:before="0" w:after="0"/>
      </w:pPr>
    </w:p>
    <w:p w:rsidR="00E46132" w:rsidRPr="00E46132" w:rsidRDefault="00E46132" w:rsidP="000B1F52">
      <w:pPr>
        <w:pStyle w:val="Prrafodelista"/>
        <w:spacing w:after="0" w:line="240" w:lineRule="auto"/>
        <w:ind w:left="0" w:firstLine="567"/>
        <w:contextualSpacing w:val="0"/>
        <w:jc w:val="both"/>
        <w:rPr>
          <w:rFonts w:ascii="Arial" w:eastAsia="Times New Roman" w:hAnsi="Arial"/>
          <w:sz w:val="20"/>
          <w:szCs w:val="20"/>
          <w:lang w:val="es-ES" w:eastAsia="es-ES"/>
        </w:rPr>
      </w:pPr>
      <w:r w:rsidRPr="00E46132">
        <w:rPr>
          <w:rFonts w:ascii="Arial" w:eastAsia="Times New Roman" w:hAnsi="Arial"/>
          <w:sz w:val="20"/>
          <w:szCs w:val="20"/>
          <w:lang w:val="es-ES" w:eastAsia="es-ES"/>
        </w:rPr>
        <w:t xml:space="preserve">La población objeto de estudio está constituida por el conjunto de sociedades cooperativas </w:t>
      </w:r>
      <w:r w:rsidR="004F5A99">
        <w:rPr>
          <w:rFonts w:ascii="Arial" w:eastAsia="Times New Roman" w:hAnsi="Arial"/>
          <w:sz w:val="20"/>
          <w:szCs w:val="20"/>
          <w:lang w:val="es-ES" w:eastAsia="es-ES"/>
        </w:rPr>
        <w:t>dedicadas a actividades agroalimentarias</w:t>
      </w:r>
      <w:r w:rsidRPr="00E46132">
        <w:rPr>
          <w:rFonts w:ascii="Arial" w:eastAsia="Times New Roman" w:hAnsi="Arial"/>
          <w:sz w:val="20"/>
          <w:szCs w:val="20"/>
          <w:lang w:val="es-ES" w:eastAsia="es-ES"/>
        </w:rPr>
        <w:t xml:space="preserve"> y con ámbito geográfico extendido a </w:t>
      </w:r>
      <w:r w:rsidRPr="00337574">
        <w:rPr>
          <w:rFonts w:ascii="Arial" w:eastAsia="Times New Roman" w:hAnsi="Arial"/>
          <w:sz w:val="20"/>
          <w:szCs w:val="20"/>
          <w:lang w:val="es-ES" w:eastAsia="es-ES"/>
        </w:rPr>
        <w:t>todo el territorio español. Esto sup</w:t>
      </w:r>
      <w:r w:rsidR="00770542" w:rsidRPr="00337574">
        <w:rPr>
          <w:rFonts w:ascii="Arial" w:eastAsia="Times New Roman" w:hAnsi="Arial"/>
          <w:sz w:val="20"/>
          <w:szCs w:val="20"/>
          <w:lang w:val="es-ES" w:eastAsia="es-ES"/>
        </w:rPr>
        <w:t>one una población total de 3.861</w:t>
      </w:r>
      <w:r w:rsidRPr="00337574">
        <w:rPr>
          <w:rFonts w:ascii="Arial" w:eastAsia="Times New Roman" w:hAnsi="Arial"/>
          <w:sz w:val="20"/>
          <w:szCs w:val="20"/>
          <w:lang w:val="es-ES" w:eastAsia="es-ES"/>
        </w:rPr>
        <w:t xml:space="preserve"> cooperativas, según datos de Cooperativas Agro-</w:t>
      </w:r>
      <w:r w:rsidR="00770542" w:rsidRPr="00337574">
        <w:rPr>
          <w:rFonts w:ascii="Arial" w:eastAsia="Times New Roman" w:hAnsi="Arial"/>
          <w:sz w:val="20"/>
          <w:szCs w:val="20"/>
          <w:lang w:val="es-ES" w:eastAsia="es-ES"/>
        </w:rPr>
        <w:t>alimentarias (2012</w:t>
      </w:r>
      <w:r w:rsidRPr="00337574">
        <w:rPr>
          <w:rFonts w:ascii="Arial" w:eastAsia="Times New Roman" w:hAnsi="Arial"/>
          <w:sz w:val="20"/>
          <w:szCs w:val="20"/>
          <w:lang w:val="es-ES" w:eastAsia="es-ES"/>
        </w:rPr>
        <w:t>), lo que evidentemente conduce a la necesidad de</w:t>
      </w:r>
      <w:r w:rsidRPr="00E46132">
        <w:rPr>
          <w:rFonts w:ascii="Arial" w:eastAsia="Times New Roman" w:hAnsi="Arial"/>
          <w:sz w:val="20"/>
          <w:szCs w:val="20"/>
          <w:lang w:val="es-ES" w:eastAsia="es-ES"/>
        </w:rPr>
        <w:t xml:space="preserve"> obtener una muestra estadísticamente representativa de dicha población sobre la que se puedan aplicar los análisis estadísticos de forma operativa.</w:t>
      </w:r>
    </w:p>
    <w:p w:rsidR="000B1F52" w:rsidRDefault="000B1F52" w:rsidP="000B1F52">
      <w:pPr>
        <w:pStyle w:val="Prrafodelista"/>
        <w:spacing w:after="0" w:line="240" w:lineRule="auto"/>
        <w:ind w:left="0" w:firstLine="567"/>
        <w:contextualSpacing w:val="0"/>
        <w:jc w:val="both"/>
        <w:rPr>
          <w:rFonts w:ascii="Arial" w:eastAsia="Times New Roman" w:hAnsi="Arial"/>
          <w:sz w:val="20"/>
          <w:szCs w:val="20"/>
          <w:lang w:val="es-ES" w:eastAsia="es-ES"/>
        </w:rPr>
      </w:pPr>
    </w:p>
    <w:p w:rsidR="00E46132" w:rsidRPr="00E46132" w:rsidRDefault="00E46132" w:rsidP="000B1F52">
      <w:pPr>
        <w:pStyle w:val="Prrafodelista"/>
        <w:spacing w:after="0" w:line="240" w:lineRule="auto"/>
        <w:ind w:left="0" w:firstLine="567"/>
        <w:contextualSpacing w:val="0"/>
        <w:jc w:val="both"/>
        <w:rPr>
          <w:rFonts w:ascii="Arial" w:eastAsia="Times New Roman" w:hAnsi="Arial"/>
          <w:sz w:val="20"/>
          <w:szCs w:val="20"/>
          <w:lang w:val="es-ES" w:eastAsia="es-ES"/>
        </w:rPr>
      </w:pPr>
      <w:r w:rsidRPr="00E46132">
        <w:rPr>
          <w:rFonts w:ascii="Arial" w:eastAsia="Times New Roman" w:hAnsi="Arial"/>
          <w:sz w:val="20"/>
          <w:szCs w:val="20"/>
          <w:lang w:val="es-ES" w:eastAsia="es-ES"/>
        </w:rPr>
        <w:t xml:space="preserve">Dado que los requisitos informativos para el estudio son de naturaleza contable, la selección de la muestra se ha realizado a partir de la información proporcionada por la base de datos financieros SABI (Sistemas de Análisis de Balances Ibéricos, actualización noviembre de </w:t>
      </w:r>
      <w:r w:rsidRPr="00E46132">
        <w:rPr>
          <w:rFonts w:ascii="Arial" w:eastAsia="Times New Roman" w:hAnsi="Arial"/>
          <w:sz w:val="20"/>
          <w:szCs w:val="20"/>
          <w:lang w:val="es-ES" w:eastAsia="es-ES"/>
        </w:rPr>
        <w:lastRenderedPageBreak/>
        <w:t xml:space="preserve">2011). Esta base de datos es elaborada por Bureau Van </w:t>
      </w:r>
      <w:proofErr w:type="spellStart"/>
      <w:r w:rsidRPr="00E46132">
        <w:rPr>
          <w:rFonts w:ascii="Arial" w:eastAsia="Times New Roman" w:hAnsi="Arial"/>
          <w:sz w:val="20"/>
          <w:szCs w:val="20"/>
          <w:lang w:val="es-ES" w:eastAsia="es-ES"/>
        </w:rPr>
        <w:t>Dijk</w:t>
      </w:r>
      <w:proofErr w:type="spellEnd"/>
      <w:r w:rsidRPr="00E46132">
        <w:rPr>
          <w:rFonts w:ascii="Arial" w:eastAsia="Times New Roman" w:hAnsi="Arial"/>
          <w:sz w:val="20"/>
          <w:szCs w:val="20"/>
          <w:lang w:val="es-ES" w:eastAsia="es-ES"/>
        </w:rPr>
        <w:t xml:space="preserve"> </w:t>
      </w:r>
      <w:proofErr w:type="spellStart"/>
      <w:r w:rsidRPr="00E46132">
        <w:rPr>
          <w:rFonts w:ascii="Arial" w:eastAsia="Times New Roman" w:hAnsi="Arial"/>
          <w:sz w:val="20"/>
          <w:szCs w:val="20"/>
          <w:lang w:val="es-ES" w:eastAsia="es-ES"/>
        </w:rPr>
        <w:t>Electronic</w:t>
      </w:r>
      <w:proofErr w:type="spellEnd"/>
      <w:r w:rsidRPr="00E46132">
        <w:rPr>
          <w:rFonts w:ascii="Arial" w:eastAsia="Times New Roman" w:hAnsi="Arial"/>
          <w:sz w:val="20"/>
          <w:szCs w:val="20"/>
          <w:lang w:val="es-ES" w:eastAsia="es-ES"/>
        </w:rPr>
        <w:t xml:space="preserve"> Publishing e Informa, y recoge la información económico-financiera de más de 550.000 empresas españolas.</w:t>
      </w:r>
    </w:p>
    <w:p w:rsidR="000B1F52" w:rsidRDefault="000B1F52" w:rsidP="000B1F52">
      <w:pPr>
        <w:ind w:firstLine="567"/>
        <w:jc w:val="both"/>
        <w:rPr>
          <w:rFonts w:ascii="Arial" w:eastAsia="Times New Roman" w:hAnsi="Arial"/>
          <w:sz w:val="20"/>
          <w:szCs w:val="20"/>
          <w:lang w:val="es-ES"/>
        </w:rPr>
      </w:pPr>
    </w:p>
    <w:p w:rsidR="00E46132" w:rsidRPr="000B1F52" w:rsidRDefault="00E46132" w:rsidP="000B1F52">
      <w:pPr>
        <w:ind w:firstLine="567"/>
        <w:jc w:val="both"/>
        <w:rPr>
          <w:rFonts w:ascii="Arial" w:eastAsia="Times New Roman" w:hAnsi="Arial"/>
          <w:sz w:val="20"/>
          <w:szCs w:val="20"/>
          <w:lang w:val="es-ES"/>
        </w:rPr>
      </w:pPr>
      <w:r w:rsidRPr="000B1F52">
        <w:rPr>
          <w:rFonts w:ascii="Arial" w:eastAsia="Times New Roman" w:hAnsi="Arial"/>
          <w:sz w:val="20"/>
          <w:szCs w:val="20"/>
          <w:lang w:val="es-ES"/>
        </w:rPr>
        <w:t>La búsqueda se realizó en base a los siguientes criterios:</w:t>
      </w:r>
    </w:p>
    <w:p w:rsidR="00E46132" w:rsidRPr="00E46132" w:rsidRDefault="00E46132" w:rsidP="00E46132">
      <w:pPr>
        <w:pStyle w:val="Prrafodelista"/>
        <w:numPr>
          <w:ilvl w:val="0"/>
          <w:numId w:val="4"/>
        </w:numPr>
        <w:spacing w:after="0" w:line="240" w:lineRule="auto"/>
        <w:contextualSpacing w:val="0"/>
        <w:jc w:val="both"/>
        <w:rPr>
          <w:rFonts w:ascii="Arial" w:eastAsia="Times New Roman" w:hAnsi="Arial"/>
          <w:sz w:val="20"/>
          <w:szCs w:val="20"/>
          <w:lang w:val="es-ES" w:eastAsia="es-ES"/>
        </w:rPr>
      </w:pPr>
      <w:r w:rsidRPr="00E46132">
        <w:rPr>
          <w:rFonts w:ascii="Arial" w:eastAsia="Times New Roman" w:hAnsi="Arial"/>
          <w:sz w:val="20"/>
          <w:szCs w:val="20"/>
          <w:lang w:val="es-ES" w:eastAsia="es-ES"/>
        </w:rPr>
        <w:t>Forma jurídica de la empresa: Cooperativa. La base de datos incluye también bajo este grupo a las Sociedades Agrarias de Transformación (SAT), sin embargo las entidades de este tipo han sido eliminadas de la muestra a fin de centrar el análisis en la figura cooperativa.</w:t>
      </w:r>
    </w:p>
    <w:p w:rsidR="00E46132" w:rsidRPr="00E46132" w:rsidRDefault="00E46132" w:rsidP="00E46132">
      <w:pPr>
        <w:pStyle w:val="Prrafodelista"/>
        <w:numPr>
          <w:ilvl w:val="0"/>
          <w:numId w:val="4"/>
        </w:numPr>
        <w:spacing w:after="0" w:line="240" w:lineRule="auto"/>
        <w:contextualSpacing w:val="0"/>
        <w:jc w:val="both"/>
        <w:rPr>
          <w:rFonts w:ascii="Arial" w:eastAsia="Times New Roman" w:hAnsi="Arial"/>
          <w:sz w:val="20"/>
          <w:szCs w:val="20"/>
          <w:lang w:val="es-ES" w:eastAsia="es-ES"/>
        </w:rPr>
      </w:pPr>
      <w:r w:rsidRPr="00E46132">
        <w:rPr>
          <w:rFonts w:ascii="Arial" w:eastAsia="Times New Roman" w:hAnsi="Arial"/>
          <w:sz w:val="20"/>
          <w:szCs w:val="20"/>
          <w:lang w:val="es-ES" w:eastAsia="es-ES"/>
        </w:rPr>
        <w:t>Sector actividad: se seleccionaron, según clasificación de la CNAE 2009, los sectores de actividad pertenecientes al código 01 (Agricultura, Ganadería, Caza y servicios relacionados con la misma) y al código 10 (Industria de la Alimentación).</w:t>
      </w:r>
    </w:p>
    <w:p w:rsidR="00E46132" w:rsidRPr="00E46132" w:rsidRDefault="00E46132" w:rsidP="00E46132">
      <w:pPr>
        <w:pStyle w:val="Prrafodelista"/>
        <w:numPr>
          <w:ilvl w:val="0"/>
          <w:numId w:val="4"/>
        </w:numPr>
        <w:spacing w:after="0" w:line="240" w:lineRule="auto"/>
        <w:contextualSpacing w:val="0"/>
        <w:jc w:val="both"/>
        <w:rPr>
          <w:rFonts w:ascii="Arial" w:eastAsia="Times New Roman" w:hAnsi="Arial"/>
          <w:sz w:val="20"/>
          <w:szCs w:val="20"/>
          <w:lang w:val="es-ES" w:eastAsia="es-ES"/>
        </w:rPr>
      </w:pPr>
      <w:r w:rsidRPr="00E46132">
        <w:rPr>
          <w:rFonts w:ascii="Arial" w:eastAsia="Times New Roman" w:hAnsi="Arial"/>
          <w:sz w:val="20"/>
          <w:szCs w:val="20"/>
          <w:lang w:val="es-ES" w:eastAsia="es-ES"/>
        </w:rPr>
        <w:t>Número de empleados: mínimo 1.</w:t>
      </w:r>
    </w:p>
    <w:p w:rsidR="00E46132" w:rsidRPr="00E46132" w:rsidRDefault="00E46132" w:rsidP="00E46132">
      <w:pPr>
        <w:pStyle w:val="Prrafodelista"/>
        <w:numPr>
          <w:ilvl w:val="0"/>
          <w:numId w:val="4"/>
        </w:numPr>
        <w:spacing w:after="0" w:line="240" w:lineRule="auto"/>
        <w:contextualSpacing w:val="0"/>
        <w:jc w:val="both"/>
        <w:rPr>
          <w:rFonts w:ascii="Arial" w:eastAsia="Times New Roman" w:hAnsi="Arial"/>
          <w:sz w:val="20"/>
          <w:szCs w:val="20"/>
          <w:lang w:val="es-ES" w:eastAsia="es-ES"/>
        </w:rPr>
      </w:pPr>
      <w:r w:rsidRPr="00E46132">
        <w:rPr>
          <w:rFonts w:ascii="Arial" w:eastAsia="Times New Roman" w:hAnsi="Arial"/>
          <w:sz w:val="20"/>
          <w:szCs w:val="20"/>
          <w:lang w:val="es-ES" w:eastAsia="es-ES"/>
        </w:rPr>
        <w:t>Disponibilidad de cuentas: 2007, 2008 y 2009.</w:t>
      </w:r>
    </w:p>
    <w:p w:rsidR="000B1F52" w:rsidRDefault="000B1F52" w:rsidP="000B1F52">
      <w:pPr>
        <w:pStyle w:val="Prrafodelista"/>
        <w:spacing w:after="0" w:line="240" w:lineRule="auto"/>
        <w:ind w:left="0" w:firstLine="567"/>
        <w:contextualSpacing w:val="0"/>
        <w:jc w:val="both"/>
        <w:rPr>
          <w:rFonts w:ascii="Arial" w:eastAsia="Times New Roman" w:hAnsi="Arial"/>
          <w:sz w:val="20"/>
          <w:szCs w:val="20"/>
          <w:lang w:val="es-ES" w:eastAsia="es-ES"/>
        </w:rPr>
      </w:pPr>
    </w:p>
    <w:p w:rsidR="004F5A99" w:rsidRDefault="004F5A99" w:rsidP="004F5A99">
      <w:pPr>
        <w:pStyle w:val="Prrafodelista"/>
        <w:spacing w:after="0" w:line="240" w:lineRule="auto"/>
        <w:ind w:left="0" w:firstLine="567"/>
        <w:contextualSpacing w:val="0"/>
        <w:jc w:val="both"/>
        <w:rPr>
          <w:rFonts w:ascii="Arial" w:eastAsia="Times New Roman" w:hAnsi="Arial"/>
          <w:sz w:val="20"/>
          <w:szCs w:val="20"/>
          <w:lang w:val="es-ES" w:eastAsia="es-ES"/>
        </w:rPr>
      </w:pPr>
      <w:r w:rsidRPr="00E46132">
        <w:rPr>
          <w:rFonts w:ascii="Arial" w:eastAsia="Times New Roman" w:hAnsi="Arial"/>
          <w:sz w:val="20"/>
          <w:szCs w:val="20"/>
          <w:lang w:val="es-ES" w:eastAsia="es-ES"/>
        </w:rPr>
        <w:t xml:space="preserve">Las empresas seleccionadas a partir de la búsqueda anterior fueron sometidas a continuación a una depuración, eliminando todas aquellas que presentaban bien datos inconsistentes, tales como recursos propios negativos, o bien escasez de información en los </w:t>
      </w:r>
      <w:r w:rsidRPr="004F5A99">
        <w:rPr>
          <w:rFonts w:ascii="Arial" w:eastAsia="Times New Roman" w:hAnsi="Arial"/>
          <w:sz w:val="20"/>
          <w:szCs w:val="20"/>
          <w:lang w:val="es-ES" w:eastAsia="es-ES"/>
        </w:rPr>
        <w:t>aspectos considerados relevantes para el estudio. La información económico-financiera relativa al ejercicio 2009 de las 181 cooperativas resultantes constituye una de las muestras definitivas del presente trabajo</w:t>
      </w:r>
      <w:r w:rsidR="000A5B26">
        <w:rPr>
          <w:rFonts w:ascii="Arial" w:eastAsia="Times New Roman" w:hAnsi="Arial"/>
          <w:sz w:val="20"/>
          <w:szCs w:val="20"/>
          <w:lang w:val="es-ES" w:eastAsia="es-ES"/>
        </w:rPr>
        <w:t xml:space="preserve"> y sobre la que se realizará posteriormente el análisis de regresión</w:t>
      </w:r>
      <w:r w:rsidRPr="004F5A99">
        <w:rPr>
          <w:rFonts w:ascii="Arial" w:eastAsia="Times New Roman" w:hAnsi="Arial"/>
          <w:sz w:val="20"/>
          <w:szCs w:val="20"/>
          <w:lang w:val="es-ES" w:eastAsia="es-ES"/>
        </w:rPr>
        <w:t>.</w:t>
      </w:r>
    </w:p>
    <w:p w:rsidR="004F5A99" w:rsidRDefault="004F5A99" w:rsidP="004F5A99">
      <w:pPr>
        <w:pStyle w:val="Prrafodelista"/>
        <w:spacing w:after="0" w:line="240" w:lineRule="auto"/>
        <w:ind w:left="0" w:firstLine="567"/>
        <w:contextualSpacing w:val="0"/>
        <w:jc w:val="both"/>
        <w:rPr>
          <w:rFonts w:ascii="Arial" w:eastAsia="Times New Roman" w:hAnsi="Arial"/>
          <w:sz w:val="20"/>
          <w:szCs w:val="20"/>
          <w:lang w:val="es-ES" w:eastAsia="es-ES"/>
        </w:rPr>
      </w:pPr>
    </w:p>
    <w:p w:rsidR="00304AAB" w:rsidRDefault="004F5A99" w:rsidP="006C71BC">
      <w:pPr>
        <w:pStyle w:val="Prrafodelista"/>
        <w:spacing w:after="0" w:line="240" w:lineRule="auto"/>
        <w:ind w:left="0" w:firstLine="567"/>
        <w:contextualSpacing w:val="0"/>
        <w:jc w:val="both"/>
        <w:rPr>
          <w:rFonts w:ascii="Arial" w:eastAsia="Times New Roman" w:hAnsi="Arial"/>
          <w:sz w:val="20"/>
          <w:szCs w:val="20"/>
          <w:lang w:val="es-ES" w:eastAsia="es-ES"/>
        </w:rPr>
      </w:pPr>
      <w:r>
        <w:rPr>
          <w:rFonts w:ascii="Arial" w:eastAsia="Times New Roman" w:hAnsi="Arial"/>
          <w:sz w:val="20"/>
          <w:szCs w:val="20"/>
          <w:lang w:val="es-ES" w:eastAsia="es-ES"/>
        </w:rPr>
        <w:t>Adicionalmente, y con objeto de realizar el análisis dinámico que evalúe los posibles efectos de las condiciones macroeconómicas y restricciones financieras sobre los determinantes de la estructura financiera de las entidades objeto de estudio, se ha obtenido una segunda muestra utilizando para ello los mismos criterios de búsqueda anteriores pero restringidos al ámbito temporal de los años 2005 y 2006. Esta segunda muestra está compuesta por un total de 90 cooperativas para las cuales se dispone también de información económico-financiera relativa a 2009, lo que permitirá caracterizar la estructura financiera de las sociedades cooperativas agrarias antes del inicio de la crisis económica y financiera, mientras que la muestra obtenida para 2009 servirá de base para la caracterización de las entidades en un entorno de crisis.</w:t>
      </w:r>
    </w:p>
    <w:p w:rsidR="00304AAB" w:rsidRDefault="00304AAB" w:rsidP="006C71BC">
      <w:pPr>
        <w:pStyle w:val="Prrafodelista"/>
        <w:spacing w:after="0" w:line="240" w:lineRule="auto"/>
        <w:ind w:left="0" w:firstLine="567"/>
        <w:contextualSpacing w:val="0"/>
        <w:jc w:val="both"/>
        <w:rPr>
          <w:rFonts w:ascii="Arial" w:eastAsia="Times New Roman" w:hAnsi="Arial"/>
          <w:sz w:val="20"/>
          <w:szCs w:val="20"/>
          <w:lang w:val="es-ES" w:eastAsia="es-ES"/>
        </w:rPr>
      </w:pPr>
    </w:p>
    <w:p w:rsidR="004F5A99" w:rsidRDefault="006C71BC" w:rsidP="006C71BC">
      <w:pPr>
        <w:pStyle w:val="Prrafodelista"/>
        <w:spacing w:after="0" w:line="240" w:lineRule="auto"/>
        <w:ind w:left="0" w:firstLine="567"/>
        <w:contextualSpacing w:val="0"/>
        <w:jc w:val="both"/>
        <w:rPr>
          <w:rFonts w:ascii="Arial" w:eastAsia="Times New Roman" w:hAnsi="Arial"/>
          <w:sz w:val="20"/>
          <w:szCs w:val="20"/>
          <w:lang w:val="es-ES" w:eastAsia="es-ES"/>
        </w:rPr>
      </w:pPr>
      <w:r w:rsidRPr="002E14E4">
        <w:rPr>
          <w:rFonts w:ascii="Arial" w:eastAsia="Times New Roman" w:hAnsi="Arial"/>
          <w:sz w:val="20"/>
          <w:szCs w:val="20"/>
          <w:lang w:val="es-ES" w:eastAsia="es-ES"/>
        </w:rPr>
        <w:t>En el primer análisis realizado</w:t>
      </w:r>
      <w:r w:rsidR="00835B00" w:rsidRPr="002E14E4">
        <w:rPr>
          <w:rFonts w:ascii="Arial" w:eastAsia="Times New Roman" w:hAnsi="Arial"/>
          <w:sz w:val="20"/>
          <w:szCs w:val="20"/>
          <w:lang w:val="es-ES" w:eastAsia="es-ES"/>
        </w:rPr>
        <w:t>,</w:t>
      </w:r>
      <w:r w:rsidRPr="002E14E4">
        <w:rPr>
          <w:rFonts w:ascii="Arial" w:eastAsia="Times New Roman" w:hAnsi="Arial"/>
          <w:sz w:val="20"/>
          <w:szCs w:val="20"/>
          <w:lang w:val="es-ES" w:eastAsia="es-ES"/>
        </w:rPr>
        <w:t xml:space="preserve"> relativo a la prueba de medias</w:t>
      </w:r>
      <w:r w:rsidR="00835B00" w:rsidRPr="002E14E4">
        <w:rPr>
          <w:rFonts w:ascii="Arial" w:eastAsia="Times New Roman" w:hAnsi="Arial"/>
          <w:sz w:val="20"/>
          <w:szCs w:val="20"/>
          <w:lang w:val="es-ES" w:eastAsia="es-ES"/>
        </w:rPr>
        <w:t>,</w:t>
      </w:r>
      <w:r w:rsidRPr="002E14E4">
        <w:rPr>
          <w:rFonts w:ascii="Arial" w:eastAsia="Times New Roman" w:hAnsi="Arial"/>
          <w:sz w:val="20"/>
          <w:szCs w:val="20"/>
          <w:lang w:val="es-ES" w:eastAsia="es-ES"/>
        </w:rPr>
        <w:t xml:space="preserve"> se han comparado las dos muestras </w:t>
      </w:r>
      <w:r w:rsidR="00304AAB" w:rsidRPr="002E14E4">
        <w:rPr>
          <w:rFonts w:ascii="Arial" w:eastAsia="Times New Roman" w:hAnsi="Arial"/>
          <w:sz w:val="20"/>
          <w:szCs w:val="20"/>
          <w:lang w:val="es-ES" w:eastAsia="es-ES"/>
        </w:rPr>
        <w:t>compuestas por el mismo número de individuos (las 90 cooperativas para las que se dispone de datos contables de</w:t>
      </w:r>
      <w:r w:rsidR="00835B00" w:rsidRPr="002E14E4">
        <w:rPr>
          <w:rFonts w:ascii="Arial" w:eastAsia="Times New Roman" w:hAnsi="Arial"/>
          <w:sz w:val="20"/>
          <w:szCs w:val="20"/>
          <w:lang w:val="es-ES" w:eastAsia="es-ES"/>
        </w:rPr>
        <w:t xml:space="preserve"> 2006</w:t>
      </w:r>
      <w:r w:rsidR="00304AAB" w:rsidRPr="002E14E4">
        <w:rPr>
          <w:rFonts w:ascii="Arial" w:eastAsia="Times New Roman" w:hAnsi="Arial"/>
          <w:sz w:val="20"/>
          <w:szCs w:val="20"/>
          <w:lang w:val="es-ES" w:eastAsia="es-ES"/>
        </w:rPr>
        <w:t xml:space="preserve"> </w:t>
      </w:r>
      <w:r w:rsidR="00835B00" w:rsidRPr="002E14E4">
        <w:rPr>
          <w:rFonts w:ascii="Arial" w:eastAsia="Times New Roman" w:hAnsi="Arial"/>
          <w:sz w:val="20"/>
          <w:szCs w:val="20"/>
          <w:lang w:val="es-ES" w:eastAsia="es-ES"/>
        </w:rPr>
        <w:t xml:space="preserve">y </w:t>
      </w:r>
      <w:r w:rsidR="00304AAB" w:rsidRPr="002E14E4">
        <w:rPr>
          <w:rFonts w:ascii="Arial" w:eastAsia="Times New Roman" w:hAnsi="Arial"/>
          <w:sz w:val="20"/>
          <w:szCs w:val="20"/>
          <w:lang w:val="es-ES" w:eastAsia="es-ES"/>
        </w:rPr>
        <w:t xml:space="preserve">2009), si bien el análisis mediante regresión lineal se ha realizado sobre la muestra inicial de 181 cooperativas seleccionadas </w:t>
      </w:r>
      <w:r w:rsidR="00835B00" w:rsidRPr="002E14E4">
        <w:rPr>
          <w:rFonts w:ascii="Arial" w:eastAsia="Times New Roman" w:hAnsi="Arial"/>
          <w:sz w:val="20"/>
          <w:szCs w:val="20"/>
          <w:lang w:val="es-ES" w:eastAsia="es-ES"/>
        </w:rPr>
        <w:t>con la información relativa a</w:t>
      </w:r>
      <w:r w:rsidR="00304AAB" w:rsidRPr="002E14E4">
        <w:rPr>
          <w:rFonts w:ascii="Arial" w:eastAsia="Times New Roman" w:hAnsi="Arial"/>
          <w:sz w:val="20"/>
          <w:szCs w:val="20"/>
          <w:lang w:val="es-ES" w:eastAsia="es-ES"/>
        </w:rPr>
        <w:t xml:space="preserve"> 2009.</w:t>
      </w:r>
    </w:p>
    <w:p w:rsidR="00E46132" w:rsidRPr="00E46132" w:rsidRDefault="00E46132" w:rsidP="00E46132">
      <w:pPr>
        <w:pStyle w:val="Prrafodelista"/>
        <w:spacing w:after="0" w:line="240" w:lineRule="auto"/>
        <w:ind w:left="0"/>
        <w:contextualSpacing w:val="0"/>
        <w:jc w:val="both"/>
        <w:rPr>
          <w:rFonts w:ascii="Arial" w:eastAsia="Times New Roman" w:hAnsi="Arial"/>
          <w:sz w:val="20"/>
          <w:szCs w:val="20"/>
          <w:lang w:val="es-ES" w:eastAsia="es-ES"/>
        </w:rPr>
      </w:pPr>
    </w:p>
    <w:p w:rsidR="00337574" w:rsidRDefault="00E46132" w:rsidP="000A5B26">
      <w:pPr>
        <w:pStyle w:val="Ttulo2"/>
        <w:numPr>
          <w:ilvl w:val="1"/>
          <w:numId w:val="2"/>
        </w:numPr>
        <w:tabs>
          <w:tab w:val="left" w:pos="993"/>
        </w:tabs>
        <w:spacing w:before="0" w:after="0"/>
        <w:ind w:left="993" w:hanging="426"/>
        <w:rPr>
          <w:rFonts w:ascii="Arial" w:hAnsi="Arial"/>
          <w:sz w:val="20"/>
          <w:szCs w:val="20"/>
        </w:rPr>
      </w:pPr>
      <w:r w:rsidRPr="00E46132">
        <w:rPr>
          <w:rFonts w:ascii="Arial" w:hAnsi="Arial"/>
          <w:sz w:val="20"/>
          <w:szCs w:val="20"/>
        </w:rPr>
        <w:t>Caracterización de la</w:t>
      </w:r>
      <w:r w:rsidR="000B1F52">
        <w:rPr>
          <w:rFonts w:ascii="Arial" w:hAnsi="Arial"/>
          <w:sz w:val="20"/>
          <w:szCs w:val="20"/>
        </w:rPr>
        <w:t>s</w:t>
      </w:r>
      <w:r w:rsidRPr="00E46132">
        <w:rPr>
          <w:rFonts w:ascii="Arial" w:hAnsi="Arial"/>
          <w:sz w:val="20"/>
          <w:szCs w:val="20"/>
        </w:rPr>
        <w:t xml:space="preserve"> muestra</w:t>
      </w:r>
      <w:r w:rsidR="000B1F52">
        <w:rPr>
          <w:rFonts w:ascii="Arial" w:hAnsi="Arial"/>
          <w:sz w:val="20"/>
          <w:szCs w:val="20"/>
        </w:rPr>
        <w:t>s</w:t>
      </w:r>
    </w:p>
    <w:p w:rsidR="002E14E4" w:rsidRPr="002E14E4" w:rsidRDefault="002E14E4" w:rsidP="002E14E4">
      <w:pPr>
        <w:pStyle w:val="Textoindependiente"/>
        <w:spacing w:before="0" w:after="0"/>
      </w:pPr>
    </w:p>
    <w:p w:rsidR="000A5B26" w:rsidRPr="00C2288B" w:rsidRDefault="004F5A99" w:rsidP="00C2288B">
      <w:pPr>
        <w:pStyle w:val="Prrafodelista"/>
        <w:spacing w:after="0" w:line="240" w:lineRule="auto"/>
        <w:ind w:left="0" w:firstLine="567"/>
        <w:contextualSpacing w:val="0"/>
        <w:jc w:val="both"/>
        <w:rPr>
          <w:rFonts w:ascii="Arial" w:eastAsia="Times New Roman" w:hAnsi="Arial"/>
          <w:sz w:val="20"/>
          <w:szCs w:val="20"/>
          <w:lang w:val="es-ES" w:eastAsia="es-ES"/>
        </w:rPr>
      </w:pPr>
      <w:r>
        <w:rPr>
          <w:rFonts w:ascii="Arial" w:eastAsia="Times New Roman" w:hAnsi="Arial"/>
          <w:sz w:val="20"/>
          <w:szCs w:val="20"/>
          <w:lang w:val="es-ES" w:eastAsia="es-ES"/>
        </w:rPr>
        <w:t>S</w:t>
      </w:r>
      <w:r w:rsidRPr="00E46132">
        <w:rPr>
          <w:rFonts w:ascii="Arial" w:eastAsia="Times New Roman" w:hAnsi="Arial"/>
          <w:sz w:val="20"/>
          <w:szCs w:val="20"/>
          <w:lang w:val="es-ES" w:eastAsia="es-ES"/>
        </w:rPr>
        <w:t>e ha efectuado una caracterización de la</w:t>
      </w:r>
      <w:r>
        <w:rPr>
          <w:rFonts w:ascii="Arial" w:eastAsia="Times New Roman" w:hAnsi="Arial"/>
          <w:sz w:val="20"/>
          <w:szCs w:val="20"/>
          <w:lang w:val="es-ES" w:eastAsia="es-ES"/>
        </w:rPr>
        <w:t>s dos</w:t>
      </w:r>
      <w:r w:rsidRPr="00E46132">
        <w:rPr>
          <w:rFonts w:ascii="Arial" w:eastAsia="Times New Roman" w:hAnsi="Arial"/>
          <w:sz w:val="20"/>
          <w:szCs w:val="20"/>
          <w:lang w:val="es-ES" w:eastAsia="es-ES"/>
        </w:rPr>
        <w:t xml:space="preserve"> muestra</w:t>
      </w:r>
      <w:r>
        <w:rPr>
          <w:rFonts w:ascii="Arial" w:eastAsia="Times New Roman" w:hAnsi="Arial"/>
          <w:sz w:val="20"/>
          <w:szCs w:val="20"/>
          <w:lang w:val="es-ES" w:eastAsia="es-ES"/>
        </w:rPr>
        <w:t>s</w:t>
      </w:r>
      <w:r w:rsidRPr="00E46132">
        <w:rPr>
          <w:rFonts w:ascii="Arial" w:eastAsia="Times New Roman" w:hAnsi="Arial"/>
          <w:sz w:val="20"/>
          <w:szCs w:val="20"/>
          <w:lang w:val="es-ES" w:eastAsia="es-ES"/>
        </w:rPr>
        <w:t xml:space="preserve"> a fin de poner de manifiesto los aspectos más relevantes de la</w:t>
      </w:r>
      <w:r>
        <w:rPr>
          <w:rFonts w:ascii="Arial" w:eastAsia="Times New Roman" w:hAnsi="Arial"/>
          <w:sz w:val="20"/>
          <w:szCs w:val="20"/>
          <w:lang w:val="es-ES" w:eastAsia="es-ES"/>
        </w:rPr>
        <w:t>s</w:t>
      </w:r>
      <w:r w:rsidRPr="00E46132">
        <w:rPr>
          <w:rFonts w:ascii="Arial" w:eastAsia="Times New Roman" w:hAnsi="Arial"/>
          <w:sz w:val="20"/>
          <w:szCs w:val="20"/>
          <w:lang w:val="es-ES" w:eastAsia="es-ES"/>
        </w:rPr>
        <w:t xml:space="preserve"> misma</w:t>
      </w:r>
      <w:r>
        <w:rPr>
          <w:rFonts w:ascii="Arial" w:eastAsia="Times New Roman" w:hAnsi="Arial"/>
          <w:sz w:val="20"/>
          <w:szCs w:val="20"/>
          <w:lang w:val="es-ES" w:eastAsia="es-ES"/>
        </w:rPr>
        <w:t>s. En los</w:t>
      </w:r>
      <w:r w:rsidRPr="00E46132">
        <w:rPr>
          <w:rFonts w:ascii="Arial" w:eastAsia="Times New Roman" w:hAnsi="Arial"/>
          <w:sz w:val="20"/>
          <w:szCs w:val="20"/>
          <w:lang w:val="es-ES" w:eastAsia="es-ES"/>
        </w:rPr>
        <w:t xml:space="preserve"> Cuadro</w:t>
      </w:r>
      <w:r>
        <w:rPr>
          <w:rFonts w:ascii="Arial" w:eastAsia="Times New Roman" w:hAnsi="Arial"/>
          <w:sz w:val="20"/>
          <w:szCs w:val="20"/>
          <w:lang w:val="es-ES" w:eastAsia="es-ES"/>
        </w:rPr>
        <w:t>s siguientes</w:t>
      </w:r>
      <w:r w:rsidRPr="00E46132">
        <w:rPr>
          <w:rFonts w:ascii="Arial" w:eastAsia="Times New Roman" w:hAnsi="Arial"/>
          <w:sz w:val="20"/>
          <w:szCs w:val="20"/>
          <w:lang w:val="es-ES" w:eastAsia="es-ES"/>
        </w:rPr>
        <w:t xml:space="preserve"> se incluyen los resultados obtenidos. </w:t>
      </w:r>
    </w:p>
    <w:p w:rsidR="00676DAF" w:rsidRPr="000B1F52" w:rsidRDefault="00676DAF" w:rsidP="000B1F52">
      <w:pPr>
        <w:pStyle w:val="Textoindependiente"/>
        <w:spacing w:before="0" w:after="0"/>
        <w:rPr>
          <w:rFonts w:ascii="Arial" w:hAnsi="Arial" w:cs="Arial"/>
          <w:b/>
          <w:sz w:val="20"/>
          <w:szCs w:val="20"/>
        </w:rPr>
      </w:pPr>
    </w:p>
    <w:p w:rsidR="000B1F52" w:rsidRPr="000B1F52" w:rsidRDefault="000B1F52" w:rsidP="000B1F52">
      <w:pPr>
        <w:pStyle w:val="Numeracindetablasyfiguras"/>
        <w:spacing w:before="0"/>
        <w:rPr>
          <w:rFonts w:ascii="Arial" w:hAnsi="Arial" w:cs="Arial"/>
          <w:szCs w:val="20"/>
          <w:lang w:val="es-ES"/>
        </w:rPr>
      </w:pPr>
      <w:r w:rsidRPr="000B1F52">
        <w:rPr>
          <w:rFonts w:ascii="Arial" w:hAnsi="Arial" w:cs="Arial"/>
          <w:szCs w:val="20"/>
          <w:lang w:val="es-ES"/>
        </w:rPr>
        <w:t>CUADRO 1</w:t>
      </w:r>
    </w:p>
    <w:p w:rsidR="000B1F52" w:rsidRPr="000B1F52" w:rsidRDefault="000B1F52" w:rsidP="000B1F52">
      <w:pPr>
        <w:pStyle w:val="Ttulodetablasyfiguras"/>
        <w:spacing w:after="0"/>
        <w:rPr>
          <w:rFonts w:ascii="Arial" w:hAnsi="Arial" w:cs="Arial"/>
          <w:b w:val="0"/>
          <w:szCs w:val="20"/>
          <w:lang w:val="es-ES"/>
        </w:rPr>
      </w:pPr>
      <w:r w:rsidRPr="000B1F52">
        <w:rPr>
          <w:rFonts w:ascii="Arial" w:hAnsi="Arial" w:cs="Arial"/>
          <w:b w:val="0"/>
          <w:szCs w:val="20"/>
          <w:lang w:val="es-ES"/>
        </w:rPr>
        <w:t>Estadísticos descriptivos relativos a la muestra de 2006</w:t>
      </w:r>
    </w:p>
    <w:tbl>
      <w:tblPr>
        <w:tblW w:w="8670"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2402"/>
        <w:gridCol w:w="1027"/>
        <w:gridCol w:w="1179"/>
        <w:gridCol w:w="1284"/>
        <w:gridCol w:w="1389"/>
        <w:gridCol w:w="1389"/>
      </w:tblGrid>
      <w:tr w:rsidR="004F5A99" w:rsidRPr="004A292E" w:rsidTr="004F5A99">
        <w:trPr>
          <w:cantSplit/>
          <w:tblHeader/>
          <w:jc w:val="center"/>
        </w:trPr>
        <w:tc>
          <w:tcPr>
            <w:tcW w:w="2402" w:type="dxa"/>
            <w:tcBorders>
              <w:top w:val="single" w:sz="18" w:space="0" w:color="000000"/>
              <w:left w:val="single" w:sz="18" w:space="0" w:color="000000"/>
              <w:bottom w:val="single" w:sz="18" w:space="0" w:color="000000"/>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rPr>
                <w:rFonts w:ascii="Arial" w:hAnsi="Arial" w:cs="Arial"/>
                <w:sz w:val="16"/>
                <w:szCs w:val="16"/>
              </w:rPr>
            </w:pPr>
          </w:p>
        </w:tc>
        <w:tc>
          <w:tcPr>
            <w:tcW w:w="1027" w:type="dxa"/>
            <w:tcBorders>
              <w:top w:val="single" w:sz="18" w:space="0" w:color="000000"/>
              <w:left w:val="single" w:sz="8" w:space="0" w:color="000000"/>
              <w:bottom w:val="single" w:sz="18" w:space="0" w:color="000000"/>
              <w:right w:val="single" w:sz="8" w:space="0" w:color="000000"/>
            </w:tcBorders>
            <w:shd w:val="clear" w:color="auto" w:fill="FFFFFF"/>
            <w:tcMar>
              <w:top w:w="30" w:type="dxa"/>
              <w:left w:w="30" w:type="dxa"/>
              <w:bottom w:w="30" w:type="dxa"/>
              <w:right w:w="30" w:type="dxa"/>
            </w:tcMar>
            <w:vAlign w:val="bottom"/>
          </w:tcPr>
          <w:p w:rsidR="004F5A99" w:rsidRPr="004A292E" w:rsidRDefault="004F5A99" w:rsidP="004F5A99">
            <w:pPr>
              <w:autoSpaceDE w:val="0"/>
              <w:autoSpaceDN w:val="0"/>
              <w:adjustRightInd w:val="0"/>
              <w:spacing w:line="320" w:lineRule="atLeast"/>
              <w:jc w:val="center"/>
              <w:rPr>
                <w:rFonts w:ascii="Arial" w:hAnsi="Arial" w:cs="Arial"/>
                <w:sz w:val="16"/>
                <w:szCs w:val="16"/>
              </w:rPr>
            </w:pPr>
            <w:r w:rsidRPr="004A292E">
              <w:rPr>
                <w:rFonts w:ascii="Arial" w:hAnsi="Arial" w:cs="Arial"/>
                <w:sz w:val="16"/>
                <w:szCs w:val="16"/>
              </w:rPr>
              <w:t>Mínimo</w:t>
            </w:r>
          </w:p>
        </w:tc>
        <w:tc>
          <w:tcPr>
            <w:tcW w:w="1179" w:type="dxa"/>
            <w:tcBorders>
              <w:top w:val="single" w:sz="18" w:space="0" w:color="000000"/>
              <w:left w:val="single" w:sz="8" w:space="0" w:color="000000"/>
              <w:bottom w:val="single" w:sz="18" w:space="0" w:color="000000"/>
              <w:right w:val="single" w:sz="8" w:space="0" w:color="000000"/>
            </w:tcBorders>
            <w:shd w:val="clear" w:color="auto" w:fill="FFFFFF"/>
            <w:tcMar>
              <w:top w:w="30" w:type="dxa"/>
              <w:left w:w="30" w:type="dxa"/>
              <w:bottom w:w="30" w:type="dxa"/>
              <w:right w:w="30" w:type="dxa"/>
            </w:tcMar>
            <w:vAlign w:val="bottom"/>
          </w:tcPr>
          <w:p w:rsidR="004F5A99" w:rsidRPr="004A292E" w:rsidRDefault="004F5A99" w:rsidP="004F5A99">
            <w:pPr>
              <w:autoSpaceDE w:val="0"/>
              <w:autoSpaceDN w:val="0"/>
              <w:adjustRightInd w:val="0"/>
              <w:spacing w:line="320" w:lineRule="atLeast"/>
              <w:jc w:val="center"/>
              <w:rPr>
                <w:rFonts w:ascii="Arial" w:hAnsi="Arial" w:cs="Arial"/>
                <w:sz w:val="16"/>
                <w:szCs w:val="16"/>
              </w:rPr>
            </w:pPr>
            <w:r w:rsidRPr="004A292E">
              <w:rPr>
                <w:rFonts w:ascii="Arial" w:hAnsi="Arial" w:cs="Arial"/>
                <w:sz w:val="16"/>
                <w:szCs w:val="16"/>
              </w:rPr>
              <w:t>Máximo</w:t>
            </w:r>
          </w:p>
        </w:tc>
        <w:tc>
          <w:tcPr>
            <w:tcW w:w="1284" w:type="dxa"/>
            <w:tcBorders>
              <w:top w:val="single" w:sz="18" w:space="0" w:color="000000"/>
              <w:left w:val="single" w:sz="8" w:space="0" w:color="000000"/>
              <w:bottom w:val="single" w:sz="18" w:space="0" w:color="000000"/>
              <w:right w:val="single" w:sz="8" w:space="0" w:color="000000"/>
            </w:tcBorders>
            <w:shd w:val="clear" w:color="auto" w:fill="FFFFFF"/>
            <w:tcMar>
              <w:top w:w="30" w:type="dxa"/>
              <w:left w:w="30" w:type="dxa"/>
              <w:bottom w:w="30" w:type="dxa"/>
              <w:right w:w="30" w:type="dxa"/>
            </w:tcMar>
            <w:vAlign w:val="bottom"/>
          </w:tcPr>
          <w:p w:rsidR="004F5A99" w:rsidRPr="004A292E" w:rsidRDefault="004F5A99" w:rsidP="004F5A99">
            <w:pPr>
              <w:autoSpaceDE w:val="0"/>
              <w:autoSpaceDN w:val="0"/>
              <w:adjustRightInd w:val="0"/>
              <w:spacing w:line="320" w:lineRule="atLeast"/>
              <w:jc w:val="center"/>
              <w:rPr>
                <w:rFonts w:ascii="Arial" w:hAnsi="Arial" w:cs="Arial"/>
                <w:sz w:val="16"/>
                <w:szCs w:val="16"/>
              </w:rPr>
            </w:pPr>
            <w:r w:rsidRPr="004A292E">
              <w:rPr>
                <w:rFonts w:ascii="Arial" w:hAnsi="Arial" w:cs="Arial"/>
                <w:sz w:val="16"/>
                <w:szCs w:val="16"/>
              </w:rPr>
              <w:t>Media</w:t>
            </w:r>
          </w:p>
        </w:tc>
        <w:tc>
          <w:tcPr>
            <w:tcW w:w="1389" w:type="dxa"/>
            <w:tcBorders>
              <w:top w:val="single" w:sz="18" w:space="0" w:color="000000"/>
              <w:left w:val="single" w:sz="8" w:space="0" w:color="000000"/>
              <w:bottom w:val="single" w:sz="18" w:space="0" w:color="000000"/>
              <w:right w:val="single" w:sz="18" w:space="0" w:color="000000"/>
            </w:tcBorders>
            <w:shd w:val="clear" w:color="auto" w:fill="FFFFFF"/>
            <w:tcMar>
              <w:top w:w="30" w:type="dxa"/>
              <w:left w:w="30" w:type="dxa"/>
              <w:bottom w:w="30" w:type="dxa"/>
              <w:right w:w="30" w:type="dxa"/>
            </w:tcMar>
            <w:vAlign w:val="bottom"/>
          </w:tcPr>
          <w:p w:rsidR="004F5A99" w:rsidRPr="004A292E" w:rsidRDefault="004F5A99" w:rsidP="004F5A99">
            <w:pPr>
              <w:autoSpaceDE w:val="0"/>
              <w:autoSpaceDN w:val="0"/>
              <w:adjustRightInd w:val="0"/>
              <w:spacing w:line="320" w:lineRule="atLeast"/>
              <w:jc w:val="center"/>
              <w:rPr>
                <w:rFonts w:ascii="Arial" w:hAnsi="Arial" w:cs="Arial"/>
                <w:sz w:val="16"/>
                <w:szCs w:val="16"/>
              </w:rPr>
            </w:pPr>
            <w:proofErr w:type="spellStart"/>
            <w:r w:rsidRPr="004A292E">
              <w:rPr>
                <w:rFonts w:ascii="Arial" w:hAnsi="Arial" w:cs="Arial"/>
                <w:sz w:val="16"/>
                <w:szCs w:val="16"/>
              </w:rPr>
              <w:t>Desv</w:t>
            </w:r>
            <w:proofErr w:type="spellEnd"/>
            <w:r w:rsidRPr="004A292E">
              <w:rPr>
                <w:rFonts w:ascii="Arial" w:hAnsi="Arial" w:cs="Arial"/>
                <w:sz w:val="16"/>
                <w:szCs w:val="16"/>
              </w:rPr>
              <w:t xml:space="preserve">. </w:t>
            </w:r>
            <w:proofErr w:type="spellStart"/>
            <w:proofErr w:type="gramStart"/>
            <w:r w:rsidRPr="004A292E">
              <w:rPr>
                <w:rFonts w:ascii="Arial" w:hAnsi="Arial" w:cs="Arial"/>
                <w:sz w:val="16"/>
                <w:szCs w:val="16"/>
              </w:rPr>
              <w:t>típ</w:t>
            </w:r>
            <w:proofErr w:type="spellEnd"/>
            <w:proofErr w:type="gramEnd"/>
            <w:r w:rsidRPr="004A292E">
              <w:rPr>
                <w:rFonts w:ascii="Arial" w:hAnsi="Arial" w:cs="Arial"/>
                <w:sz w:val="16"/>
                <w:szCs w:val="16"/>
              </w:rPr>
              <w:t>.</w:t>
            </w:r>
          </w:p>
        </w:tc>
        <w:tc>
          <w:tcPr>
            <w:tcW w:w="1389" w:type="dxa"/>
            <w:tcBorders>
              <w:top w:val="single" w:sz="18" w:space="0" w:color="000000"/>
              <w:left w:val="single" w:sz="8" w:space="0" w:color="000000"/>
              <w:bottom w:val="single" w:sz="18" w:space="0" w:color="000000"/>
              <w:right w:val="single" w:sz="18" w:space="0" w:color="000000"/>
            </w:tcBorders>
            <w:shd w:val="clear" w:color="auto" w:fill="FFFFFF"/>
          </w:tcPr>
          <w:p w:rsidR="004F5A99" w:rsidRPr="004A292E" w:rsidRDefault="004F5A99" w:rsidP="004F5A99">
            <w:pPr>
              <w:autoSpaceDE w:val="0"/>
              <w:autoSpaceDN w:val="0"/>
              <w:adjustRightInd w:val="0"/>
              <w:spacing w:line="320" w:lineRule="atLeast"/>
              <w:jc w:val="center"/>
              <w:rPr>
                <w:rFonts w:ascii="Arial" w:hAnsi="Arial" w:cs="Arial"/>
                <w:sz w:val="16"/>
                <w:szCs w:val="16"/>
              </w:rPr>
            </w:pPr>
            <w:r w:rsidRPr="004A292E">
              <w:rPr>
                <w:rFonts w:ascii="Arial" w:hAnsi="Arial" w:cs="Arial"/>
                <w:sz w:val="16"/>
                <w:szCs w:val="16"/>
              </w:rPr>
              <w:t>Mediana</w:t>
            </w:r>
          </w:p>
        </w:tc>
      </w:tr>
      <w:tr w:rsidR="004F5A99" w:rsidRPr="004A292E" w:rsidTr="004F5A99">
        <w:trPr>
          <w:cantSplit/>
          <w:tblHeader/>
          <w:jc w:val="center"/>
        </w:trPr>
        <w:tc>
          <w:tcPr>
            <w:tcW w:w="2402" w:type="dxa"/>
            <w:tcBorders>
              <w:top w:val="single" w:sz="18" w:space="0" w:color="000000"/>
              <w:left w:val="single" w:sz="18" w:space="0" w:color="000000"/>
              <w:bottom w:val="nil"/>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spacing w:line="320" w:lineRule="atLeast"/>
              <w:rPr>
                <w:rFonts w:ascii="Arial" w:hAnsi="Arial" w:cs="Arial"/>
                <w:sz w:val="16"/>
                <w:szCs w:val="16"/>
              </w:rPr>
            </w:pPr>
            <w:r w:rsidRPr="004A292E">
              <w:rPr>
                <w:rFonts w:ascii="Arial" w:hAnsi="Arial" w:cs="Arial"/>
                <w:sz w:val="16"/>
                <w:szCs w:val="16"/>
              </w:rPr>
              <w:t>Activo Total (mil €)</w:t>
            </w:r>
          </w:p>
        </w:tc>
        <w:tc>
          <w:tcPr>
            <w:tcW w:w="1027" w:type="dxa"/>
            <w:tcBorders>
              <w:top w:val="single" w:sz="18" w:space="0" w:color="000000"/>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145,00</w:t>
            </w:r>
          </w:p>
        </w:tc>
        <w:tc>
          <w:tcPr>
            <w:tcW w:w="1179" w:type="dxa"/>
            <w:tcBorders>
              <w:top w:val="single" w:sz="18" w:space="0" w:color="000000"/>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154.254,00</w:t>
            </w:r>
          </w:p>
        </w:tc>
        <w:tc>
          <w:tcPr>
            <w:tcW w:w="1284" w:type="dxa"/>
            <w:tcBorders>
              <w:top w:val="single" w:sz="18" w:space="0" w:color="000000"/>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FF0000"/>
                <w:sz w:val="16"/>
                <w:szCs w:val="16"/>
              </w:rPr>
            </w:pPr>
            <w:r w:rsidRPr="004A292E">
              <w:rPr>
                <w:rFonts w:ascii="Arial" w:hAnsi="Arial" w:cs="Arial"/>
                <w:color w:val="000000"/>
                <w:sz w:val="16"/>
                <w:szCs w:val="16"/>
              </w:rPr>
              <w:t>7.707,5000</w:t>
            </w:r>
          </w:p>
        </w:tc>
        <w:tc>
          <w:tcPr>
            <w:tcW w:w="1389" w:type="dxa"/>
            <w:tcBorders>
              <w:top w:val="single" w:sz="18" w:space="0" w:color="000000"/>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20.758,43137</w:t>
            </w:r>
          </w:p>
        </w:tc>
        <w:tc>
          <w:tcPr>
            <w:tcW w:w="1389" w:type="dxa"/>
            <w:tcBorders>
              <w:top w:val="single" w:sz="18" w:space="0" w:color="000000"/>
              <w:left w:val="single" w:sz="8" w:space="0" w:color="000000"/>
              <w:bottom w:val="nil"/>
              <w:right w:val="single" w:sz="18" w:space="0" w:color="000000"/>
            </w:tcBorders>
            <w:shd w:val="clear" w:color="auto" w:fill="FFFFFF"/>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1.722,00</w:t>
            </w:r>
          </w:p>
        </w:tc>
      </w:tr>
      <w:tr w:rsidR="004F5A99" w:rsidRPr="004A292E" w:rsidTr="004F5A99">
        <w:trPr>
          <w:cantSplit/>
          <w:tblHeader/>
          <w:jc w:val="center"/>
        </w:trPr>
        <w:tc>
          <w:tcPr>
            <w:tcW w:w="2402"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spacing w:line="320" w:lineRule="atLeast"/>
              <w:rPr>
                <w:rFonts w:ascii="Arial" w:hAnsi="Arial" w:cs="Arial"/>
                <w:sz w:val="16"/>
                <w:szCs w:val="16"/>
              </w:rPr>
            </w:pPr>
            <w:r w:rsidRPr="004A292E">
              <w:rPr>
                <w:rFonts w:ascii="Arial" w:hAnsi="Arial" w:cs="Arial"/>
                <w:sz w:val="16"/>
                <w:szCs w:val="16"/>
              </w:rPr>
              <w:t>Cifra de ventas (mil €)</w:t>
            </w:r>
          </w:p>
        </w:tc>
        <w:tc>
          <w:tcPr>
            <w:tcW w:w="1027"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70,00</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415.552,00</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11906,8333</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47637,02403</w:t>
            </w:r>
          </w:p>
        </w:tc>
        <w:tc>
          <w:tcPr>
            <w:tcW w:w="1389" w:type="dxa"/>
            <w:tcBorders>
              <w:top w:val="nil"/>
              <w:left w:val="single" w:sz="8" w:space="0" w:color="000000"/>
              <w:bottom w:val="nil"/>
              <w:right w:val="single" w:sz="18" w:space="0" w:color="000000"/>
            </w:tcBorders>
            <w:shd w:val="clear" w:color="auto" w:fill="FFFFFF"/>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2.495,50</w:t>
            </w:r>
          </w:p>
        </w:tc>
      </w:tr>
      <w:tr w:rsidR="004F5A99" w:rsidRPr="004A292E" w:rsidTr="004F5A99">
        <w:trPr>
          <w:cantSplit/>
          <w:tblHeader/>
          <w:jc w:val="center"/>
        </w:trPr>
        <w:tc>
          <w:tcPr>
            <w:tcW w:w="2402"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spacing w:line="320" w:lineRule="atLeast"/>
              <w:rPr>
                <w:rFonts w:ascii="Arial" w:hAnsi="Arial" w:cs="Arial"/>
                <w:sz w:val="16"/>
                <w:szCs w:val="16"/>
              </w:rPr>
            </w:pPr>
            <w:r w:rsidRPr="004A292E">
              <w:rPr>
                <w:rFonts w:ascii="Arial" w:hAnsi="Arial" w:cs="Arial"/>
                <w:sz w:val="16"/>
                <w:szCs w:val="16"/>
              </w:rPr>
              <w:t>Número empleados</w:t>
            </w:r>
          </w:p>
        </w:tc>
        <w:tc>
          <w:tcPr>
            <w:tcW w:w="1027"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1,00</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344,00</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20,8889</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48,52963</w:t>
            </w:r>
          </w:p>
        </w:tc>
        <w:tc>
          <w:tcPr>
            <w:tcW w:w="1389" w:type="dxa"/>
            <w:tcBorders>
              <w:top w:val="nil"/>
              <w:left w:val="single" w:sz="8" w:space="0" w:color="000000"/>
              <w:bottom w:val="nil"/>
              <w:right w:val="single" w:sz="18" w:space="0" w:color="000000"/>
            </w:tcBorders>
            <w:shd w:val="clear" w:color="auto" w:fill="FFFFFF"/>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6,0000</w:t>
            </w:r>
          </w:p>
        </w:tc>
      </w:tr>
      <w:tr w:rsidR="004F5A99" w:rsidRPr="004A292E" w:rsidTr="004F5A99">
        <w:trPr>
          <w:cantSplit/>
          <w:tblHeader/>
          <w:jc w:val="center"/>
        </w:trPr>
        <w:tc>
          <w:tcPr>
            <w:tcW w:w="2402"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spacing w:line="320" w:lineRule="atLeast"/>
              <w:rPr>
                <w:rFonts w:ascii="Arial" w:hAnsi="Arial" w:cs="Arial"/>
                <w:sz w:val="16"/>
                <w:szCs w:val="16"/>
              </w:rPr>
            </w:pPr>
            <w:r w:rsidRPr="004A292E">
              <w:rPr>
                <w:rFonts w:ascii="Arial" w:hAnsi="Arial" w:cs="Arial"/>
                <w:sz w:val="16"/>
                <w:szCs w:val="16"/>
              </w:rPr>
              <w:t>Variación Ventas (2005-06)</w:t>
            </w:r>
          </w:p>
        </w:tc>
        <w:tc>
          <w:tcPr>
            <w:tcW w:w="1027"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,32</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4,07</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1,0647</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,47203</w:t>
            </w:r>
          </w:p>
        </w:tc>
        <w:tc>
          <w:tcPr>
            <w:tcW w:w="1389" w:type="dxa"/>
            <w:tcBorders>
              <w:top w:val="nil"/>
              <w:left w:val="single" w:sz="8" w:space="0" w:color="000000"/>
              <w:bottom w:val="nil"/>
              <w:right w:val="single" w:sz="18" w:space="0" w:color="000000"/>
            </w:tcBorders>
            <w:shd w:val="clear" w:color="auto" w:fill="FFFFFF"/>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1,0471</w:t>
            </w:r>
          </w:p>
        </w:tc>
      </w:tr>
      <w:tr w:rsidR="004F5A99" w:rsidRPr="004A292E" w:rsidTr="004F5A99">
        <w:trPr>
          <w:cantSplit/>
          <w:tblHeader/>
          <w:jc w:val="center"/>
        </w:trPr>
        <w:tc>
          <w:tcPr>
            <w:tcW w:w="2402"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spacing w:line="320" w:lineRule="atLeast"/>
              <w:rPr>
                <w:rFonts w:ascii="Arial" w:hAnsi="Arial" w:cs="Arial"/>
                <w:sz w:val="16"/>
                <w:szCs w:val="16"/>
              </w:rPr>
            </w:pPr>
            <w:r w:rsidRPr="004A292E">
              <w:rPr>
                <w:rFonts w:ascii="Arial" w:hAnsi="Arial" w:cs="Arial"/>
                <w:sz w:val="16"/>
                <w:szCs w:val="16"/>
              </w:rPr>
              <w:t>Endeudamiento (%)</w:t>
            </w:r>
          </w:p>
        </w:tc>
        <w:tc>
          <w:tcPr>
            <w:tcW w:w="1027"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1,09</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104,00</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65,4768</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24,16906</w:t>
            </w:r>
          </w:p>
        </w:tc>
        <w:tc>
          <w:tcPr>
            <w:tcW w:w="1389" w:type="dxa"/>
            <w:tcBorders>
              <w:top w:val="nil"/>
              <w:left w:val="single" w:sz="8" w:space="0" w:color="000000"/>
              <w:bottom w:val="nil"/>
              <w:right w:val="single" w:sz="18" w:space="0" w:color="000000"/>
            </w:tcBorders>
            <w:shd w:val="clear" w:color="auto" w:fill="FFFFFF"/>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72,1500</w:t>
            </w:r>
          </w:p>
        </w:tc>
      </w:tr>
      <w:tr w:rsidR="004F5A99" w:rsidRPr="004A292E" w:rsidTr="004F5A99">
        <w:trPr>
          <w:cantSplit/>
          <w:tblHeader/>
          <w:jc w:val="center"/>
        </w:trPr>
        <w:tc>
          <w:tcPr>
            <w:tcW w:w="2402"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spacing w:line="320" w:lineRule="atLeast"/>
              <w:rPr>
                <w:rFonts w:ascii="Arial" w:hAnsi="Arial" w:cs="Arial"/>
                <w:sz w:val="16"/>
                <w:szCs w:val="16"/>
              </w:rPr>
            </w:pPr>
            <w:r w:rsidRPr="004A292E">
              <w:rPr>
                <w:rFonts w:ascii="Arial" w:hAnsi="Arial" w:cs="Arial"/>
                <w:sz w:val="16"/>
                <w:szCs w:val="16"/>
              </w:rPr>
              <w:t>Liquidez (Activo Corriente/Pasivo Corriente)</w:t>
            </w:r>
          </w:p>
        </w:tc>
        <w:tc>
          <w:tcPr>
            <w:tcW w:w="1027"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,30</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34,81</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1,8367</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3,80556</w:t>
            </w:r>
          </w:p>
        </w:tc>
        <w:tc>
          <w:tcPr>
            <w:tcW w:w="1389" w:type="dxa"/>
            <w:tcBorders>
              <w:top w:val="nil"/>
              <w:left w:val="single" w:sz="8" w:space="0" w:color="000000"/>
              <w:bottom w:val="nil"/>
              <w:right w:val="single" w:sz="18" w:space="0" w:color="000000"/>
            </w:tcBorders>
            <w:shd w:val="clear" w:color="auto" w:fill="FFFFFF"/>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1,0300</w:t>
            </w:r>
          </w:p>
        </w:tc>
      </w:tr>
      <w:tr w:rsidR="004F5A99" w:rsidRPr="004A292E" w:rsidTr="004F5A99">
        <w:trPr>
          <w:cantSplit/>
          <w:tblHeader/>
          <w:jc w:val="center"/>
        </w:trPr>
        <w:tc>
          <w:tcPr>
            <w:tcW w:w="2402"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spacing w:line="320" w:lineRule="atLeast"/>
              <w:rPr>
                <w:rFonts w:ascii="Arial" w:hAnsi="Arial" w:cs="Arial"/>
                <w:sz w:val="16"/>
                <w:szCs w:val="16"/>
              </w:rPr>
            </w:pPr>
            <w:r w:rsidRPr="004A292E">
              <w:rPr>
                <w:rFonts w:ascii="Arial" w:hAnsi="Arial" w:cs="Arial"/>
                <w:sz w:val="16"/>
                <w:szCs w:val="16"/>
              </w:rPr>
              <w:lastRenderedPageBreak/>
              <w:t>Ratio Capitalización</w:t>
            </w:r>
          </w:p>
        </w:tc>
        <w:tc>
          <w:tcPr>
            <w:tcW w:w="1027"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,04</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,99</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,3448</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,24193</w:t>
            </w:r>
          </w:p>
        </w:tc>
        <w:tc>
          <w:tcPr>
            <w:tcW w:w="1389" w:type="dxa"/>
            <w:tcBorders>
              <w:top w:val="nil"/>
              <w:left w:val="single" w:sz="8" w:space="0" w:color="000000"/>
              <w:bottom w:val="nil"/>
              <w:right w:val="single" w:sz="18" w:space="0" w:color="000000"/>
            </w:tcBorders>
            <w:shd w:val="clear" w:color="auto" w:fill="FFFFFF"/>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,2750</w:t>
            </w:r>
          </w:p>
        </w:tc>
      </w:tr>
      <w:tr w:rsidR="004F5A99" w:rsidRPr="004A292E" w:rsidTr="004F5A99">
        <w:trPr>
          <w:cantSplit/>
          <w:tblHeader/>
          <w:jc w:val="center"/>
        </w:trPr>
        <w:tc>
          <w:tcPr>
            <w:tcW w:w="2402"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spacing w:line="320" w:lineRule="atLeast"/>
              <w:rPr>
                <w:rFonts w:ascii="Arial" w:hAnsi="Arial" w:cs="Arial"/>
                <w:sz w:val="16"/>
                <w:szCs w:val="16"/>
              </w:rPr>
            </w:pPr>
            <w:r w:rsidRPr="004A292E">
              <w:rPr>
                <w:rFonts w:ascii="Arial" w:hAnsi="Arial" w:cs="Arial"/>
                <w:sz w:val="16"/>
                <w:szCs w:val="16"/>
              </w:rPr>
              <w:t xml:space="preserve">Amortización/Gastos </w:t>
            </w:r>
          </w:p>
        </w:tc>
        <w:tc>
          <w:tcPr>
            <w:tcW w:w="1027"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,00</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,98</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,0782</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,15943</w:t>
            </w:r>
          </w:p>
        </w:tc>
        <w:tc>
          <w:tcPr>
            <w:tcW w:w="1389" w:type="dxa"/>
            <w:tcBorders>
              <w:top w:val="nil"/>
              <w:left w:val="single" w:sz="8" w:space="0" w:color="000000"/>
              <w:bottom w:val="nil"/>
              <w:right w:val="single" w:sz="18" w:space="0" w:color="000000"/>
            </w:tcBorders>
            <w:shd w:val="clear" w:color="auto" w:fill="FFFFFF"/>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,0300</w:t>
            </w:r>
          </w:p>
        </w:tc>
      </w:tr>
      <w:tr w:rsidR="004F5A99" w:rsidRPr="004A292E" w:rsidTr="004F5A99">
        <w:trPr>
          <w:cantSplit/>
          <w:tblHeader/>
          <w:jc w:val="center"/>
        </w:trPr>
        <w:tc>
          <w:tcPr>
            <w:tcW w:w="2402"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spacing w:line="320" w:lineRule="atLeast"/>
              <w:rPr>
                <w:rFonts w:ascii="Arial" w:hAnsi="Arial" w:cs="Arial"/>
                <w:sz w:val="16"/>
                <w:szCs w:val="16"/>
              </w:rPr>
            </w:pPr>
            <w:r w:rsidRPr="004A292E">
              <w:rPr>
                <w:rFonts w:ascii="Arial" w:hAnsi="Arial" w:cs="Arial"/>
                <w:sz w:val="16"/>
                <w:szCs w:val="16"/>
              </w:rPr>
              <w:t>Activo Corriente/ Activo Total</w:t>
            </w:r>
          </w:p>
        </w:tc>
        <w:tc>
          <w:tcPr>
            <w:tcW w:w="1027"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,06</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1,00</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,5327</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,22285</w:t>
            </w:r>
          </w:p>
        </w:tc>
        <w:tc>
          <w:tcPr>
            <w:tcW w:w="1389" w:type="dxa"/>
            <w:tcBorders>
              <w:top w:val="nil"/>
              <w:left w:val="single" w:sz="8" w:space="0" w:color="000000"/>
              <w:bottom w:val="nil"/>
              <w:right w:val="single" w:sz="18" w:space="0" w:color="000000"/>
            </w:tcBorders>
            <w:shd w:val="clear" w:color="auto" w:fill="FFFFFF"/>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,5425</w:t>
            </w:r>
          </w:p>
        </w:tc>
      </w:tr>
      <w:tr w:rsidR="004F5A99" w:rsidRPr="004A292E" w:rsidTr="004F5A99">
        <w:trPr>
          <w:cantSplit/>
          <w:tblHeader/>
          <w:jc w:val="center"/>
        </w:trPr>
        <w:tc>
          <w:tcPr>
            <w:tcW w:w="2402" w:type="dxa"/>
            <w:tcBorders>
              <w:top w:val="nil"/>
              <w:left w:val="single" w:sz="18" w:space="0" w:color="000000"/>
              <w:bottom w:val="single" w:sz="18" w:space="0" w:color="000000"/>
              <w:right w:val="single" w:sz="18" w:space="0" w:color="000000"/>
            </w:tcBorders>
            <w:shd w:val="clear" w:color="auto" w:fill="FFFFFF"/>
            <w:tcMar>
              <w:top w:w="30" w:type="dxa"/>
              <w:left w:w="30" w:type="dxa"/>
              <w:bottom w:w="30" w:type="dxa"/>
              <w:right w:w="30" w:type="dxa"/>
            </w:tcMar>
          </w:tcPr>
          <w:p w:rsidR="004F5A99" w:rsidRPr="004A292E" w:rsidRDefault="004F5A99" w:rsidP="004F5A99">
            <w:pPr>
              <w:autoSpaceDE w:val="0"/>
              <w:autoSpaceDN w:val="0"/>
              <w:adjustRightInd w:val="0"/>
              <w:spacing w:line="320" w:lineRule="atLeast"/>
              <w:rPr>
                <w:rFonts w:ascii="Arial" w:hAnsi="Arial" w:cs="Arial"/>
                <w:sz w:val="16"/>
                <w:szCs w:val="16"/>
              </w:rPr>
            </w:pPr>
            <w:r w:rsidRPr="004A292E">
              <w:rPr>
                <w:rFonts w:ascii="Arial" w:hAnsi="Arial" w:cs="Arial"/>
                <w:sz w:val="16"/>
                <w:szCs w:val="16"/>
              </w:rPr>
              <w:t>Rotación Activo Total</w:t>
            </w:r>
          </w:p>
        </w:tc>
        <w:tc>
          <w:tcPr>
            <w:tcW w:w="1027" w:type="dxa"/>
            <w:tcBorders>
              <w:top w:val="nil"/>
              <w:left w:val="single" w:sz="18" w:space="0" w:color="000000"/>
              <w:bottom w:val="single" w:sz="18" w:space="0" w:color="000000"/>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,11</w:t>
            </w:r>
          </w:p>
        </w:tc>
        <w:tc>
          <w:tcPr>
            <w:tcW w:w="1179" w:type="dxa"/>
            <w:tcBorders>
              <w:top w:val="nil"/>
              <w:left w:val="single" w:sz="8" w:space="0" w:color="000000"/>
              <w:bottom w:val="single" w:sz="18" w:space="0" w:color="000000"/>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6,05</w:t>
            </w:r>
          </w:p>
        </w:tc>
        <w:tc>
          <w:tcPr>
            <w:tcW w:w="1284" w:type="dxa"/>
            <w:tcBorders>
              <w:top w:val="nil"/>
              <w:left w:val="single" w:sz="8" w:space="0" w:color="000000"/>
              <w:bottom w:val="single" w:sz="18" w:space="0" w:color="000000"/>
              <w:right w:val="single" w:sz="8"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1,6912</w:t>
            </w:r>
          </w:p>
        </w:tc>
        <w:tc>
          <w:tcPr>
            <w:tcW w:w="1389" w:type="dxa"/>
            <w:tcBorders>
              <w:top w:val="nil"/>
              <w:left w:val="single" w:sz="8" w:space="0" w:color="000000"/>
              <w:bottom w:val="single" w:sz="18" w:space="0" w:color="000000"/>
              <w:right w:val="single" w:sz="12" w:space="0" w:color="000000"/>
            </w:tcBorders>
            <w:shd w:val="clear" w:color="auto" w:fill="FFFFFF"/>
            <w:tcMar>
              <w:top w:w="30" w:type="dxa"/>
              <w:left w:w="30" w:type="dxa"/>
              <w:bottom w:w="30" w:type="dxa"/>
              <w:right w:w="30" w:type="dxa"/>
            </w:tcMar>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1,42288</w:t>
            </w:r>
          </w:p>
        </w:tc>
        <w:tc>
          <w:tcPr>
            <w:tcW w:w="1389" w:type="dxa"/>
            <w:tcBorders>
              <w:top w:val="nil"/>
              <w:left w:val="single" w:sz="8" w:space="0" w:color="000000"/>
              <w:bottom w:val="single" w:sz="18" w:space="0" w:color="000000"/>
              <w:right w:val="single" w:sz="18" w:space="0" w:color="000000"/>
            </w:tcBorders>
            <w:shd w:val="clear" w:color="auto" w:fill="FFFFFF"/>
            <w:vAlign w:val="center"/>
          </w:tcPr>
          <w:p w:rsidR="004F5A99" w:rsidRPr="004A292E" w:rsidRDefault="004F5A99" w:rsidP="004F5A99">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1,1200</w:t>
            </w:r>
          </w:p>
        </w:tc>
      </w:tr>
    </w:tbl>
    <w:p w:rsidR="00317198" w:rsidRDefault="000B1F52" w:rsidP="000B1F52">
      <w:pPr>
        <w:rPr>
          <w:rFonts w:ascii="Arial" w:hAnsi="Arial" w:cs="Arial"/>
          <w:sz w:val="18"/>
          <w:szCs w:val="18"/>
        </w:rPr>
      </w:pPr>
      <w:r w:rsidRPr="000B1F52">
        <w:rPr>
          <w:rFonts w:ascii="Arial" w:hAnsi="Arial" w:cs="Arial"/>
          <w:sz w:val="18"/>
          <w:szCs w:val="18"/>
        </w:rPr>
        <w:t>FUENTE: Elaboración propia.</w:t>
      </w:r>
    </w:p>
    <w:p w:rsidR="000B1F52" w:rsidRDefault="000B1F52" w:rsidP="000B1F52">
      <w:pPr>
        <w:rPr>
          <w:rFonts w:ascii="Arial" w:hAnsi="Arial" w:cs="Arial"/>
          <w:sz w:val="18"/>
          <w:szCs w:val="18"/>
        </w:rPr>
      </w:pPr>
    </w:p>
    <w:p w:rsidR="006C71BC" w:rsidRDefault="006C71BC" w:rsidP="006C71BC">
      <w:pPr>
        <w:pStyle w:val="Textonotapie"/>
        <w:ind w:left="0" w:firstLine="567"/>
        <w:jc w:val="both"/>
        <w:rPr>
          <w:rFonts w:ascii="Arial" w:hAnsi="Arial"/>
          <w:sz w:val="20"/>
        </w:rPr>
      </w:pPr>
      <w:r w:rsidRPr="00D675E5">
        <w:rPr>
          <w:rFonts w:ascii="Arial" w:hAnsi="Arial"/>
          <w:sz w:val="20"/>
        </w:rPr>
        <w:t xml:space="preserve">Tal como se puede observar, los datos apuntan a una importante heterogeneidad dentro de la muestra de cooperativas, con rangos amplios en la mayoría de indicadores, diferencias notables entre los valores de media y mediana y elevadas desviaciones típicas. </w:t>
      </w:r>
    </w:p>
    <w:p w:rsidR="006C71BC" w:rsidRPr="00D675E5" w:rsidRDefault="006C71BC" w:rsidP="006C71BC">
      <w:pPr>
        <w:pStyle w:val="Textonotapie"/>
        <w:ind w:left="0" w:firstLine="567"/>
        <w:jc w:val="both"/>
        <w:rPr>
          <w:rFonts w:ascii="Arial" w:hAnsi="Arial"/>
          <w:sz w:val="20"/>
        </w:rPr>
      </w:pPr>
    </w:p>
    <w:p w:rsidR="006C71BC" w:rsidRDefault="006C71BC" w:rsidP="006C71BC">
      <w:pPr>
        <w:pStyle w:val="Prrafodelista"/>
        <w:spacing w:after="0" w:line="240" w:lineRule="auto"/>
        <w:ind w:left="0" w:firstLine="567"/>
        <w:contextualSpacing w:val="0"/>
        <w:jc w:val="both"/>
        <w:rPr>
          <w:rFonts w:ascii="Arial" w:eastAsia="Times New Roman" w:hAnsi="Arial"/>
          <w:sz w:val="20"/>
          <w:szCs w:val="20"/>
          <w:lang w:val="es-ES" w:eastAsia="es-ES"/>
        </w:rPr>
      </w:pPr>
      <w:r w:rsidRPr="00D675E5">
        <w:rPr>
          <w:rFonts w:ascii="Arial" w:eastAsia="Times New Roman" w:hAnsi="Arial"/>
          <w:sz w:val="20"/>
          <w:szCs w:val="20"/>
          <w:lang w:val="es-ES" w:eastAsia="es-ES"/>
        </w:rPr>
        <w:t>El análisis anterior pone de manifiesto por una parte la baja capitalización que por término medio existe en las cooperativas agroalimentarias y, en consecuencia, su dependencia de la financiación ajena, como revela la media de sus ratios de endeudamiento (65%).</w:t>
      </w:r>
    </w:p>
    <w:p w:rsidR="000A5B26" w:rsidRDefault="000A5B26" w:rsidP="006C71BC">
      <w:pPr>
        <w:pStyle w:val="Prrafodelista"/>
        <w:spacing w:after="0" w:line="240" w:lineRule="auto"/>
        <w:ind w:left="0" w:firstLine="567"/>
        <w:contextualSpacing w:val="0"/>
        <w:jc w:val="both"/>
        <w:rPr>
          <w:rFonts w:ascii="Arial" w:eastAsia="Times New Roman" w:hAnsi="Arial"/>
          <w:sz w:val="20"/>
          <w:szCs w:val="20"/>
          <w:lang w:val="es-ES" w:eastAsia="es-ES"/>
        </w:rPr>
      </w:pPr>
    </w:p>
    <w:p w:rsidR="000A5B26" w:rsidRDefault="000A5B26" w:rsidP="000A5B26">
      <w:pPr>
        <w:pStyle w:val="Numeracindetablasyfiguras"/>
        <w:spacing w:before="0"/>
        <w:ind w:firstLine="567"/>
        <w:jc w:val="both"/>
        <w:rPr>
          <w:rFonts w:ascii="Arial" w:hAnsi="Arial"/>
          <w:szCs w:val="20"/>
          <w:lang w:val="es-ES" w:eastAsia="es-ES"/>
        </w:rPr>
      </w:pPr>
      <w:r w:rsidRPr="00D675E5">
        <w:rPr>
          <w:rFonts w:ascii="Arial" w:hAnsi="Arial"/>
          <w:caps w:val="0"/>
          <w:szCs w:val="20"/>
          <w:lang w:val="es-ES" w:eastAsia="es-ES"/>
        </w:rPr>
        <w:t xml:space="preserve">En los datos correspondientes a 2009 </w:t>
      </w:r>
      <w:r>
        <w:rPr>
          <w:rFonts w:ascii="Arial" w:hAnsi="Arial"/>
          <w:caps w:val="0"/>
          <w:szCs w:val="20"/>
          <w:lang w:val="es-ES" w:eastAsia="es-ES"/>
        </w:rPr>
        <w:t xml:space="preserve">(Cuadro 2) </w:t>
      </w:r>
      <w:r w:rsidRPr="00D675E5">
        <w:rPr>
          <w:rFonts w:ascii="Arial" w:hAnsi="Arial"/>
          <w:caps w:val="0"/>
          <w:szCs w:val="20"/>
          <w:lang w:val="es-ES" w:eastAsia="es-ES"/>
        </w:rPr>
        <w:t xml:space="preserve">se mantienen las características observadas en la muestra para el ejercicio 2006. Así se constata la dispersión que existe en la mayoría de los indicadores a estudio, puesta de manifiesto no sólo a través de los rangos definidos por los valores mínimo y máximo (en el caso del ratio liquidez, el valor mínimo es de 0,21 y el máximo es de 59,00), sino también por las desviaciones típicas elevadas y las diferencias entre media y mediana. </w:t>
      </w:r>
    </w:p>
    <w:p w:rsidR="000A5B26" w:rsidRPr="00D675E5" w:rsidRDefault="000A5B26" w:rsidP="000A5B26">
      <w:pPr>
        <w:rPr>
          <w:lang w:val="es-ES"/>
        </w:rPr>
      </w:pPr>
    </w:p>
    <w:p w:rsidR="000A5B26" w:rsidRDefault="000A5B26" w:rsidP="000A5B26">
      <w:pPr>
        <w:pStyle w:val="Numeracindetablasyfiguras"/>
        <w:spacing w:before="0"/>
        <w:ind w:firstLine="567"/>
        <w:jc w:val="both"/>
        <w:rPr>
          <w:rFonts w:ascii="Arial" w:hAnsi="Arial"/>
          <w:caps w:val="0"/>
          <w:szCs w:val="20"/>
          <w:lang w:val="es-ES" w:eastAsia="es-ES"/>
        </w:rPr>
      </w:pPr>
      <w:r w:rsidRPr="00D675E5">
        <w:rPr>
          <w:rFonts w:ascii="Arial" w:hAnsi="Arial"/>
          <w:caps w:val="0"/>
          <w:szCs w:val="20"/>
          <w:lang w:val="es-ES" w:eastAsia="es-ES"/>
        </w:rPr>
        <w:t>Atendiendo a los valores medios obtenidos en los indicadores relativos a la dimensión (activo total, cifra de ventas y número de empleados) éstos inducirían a señalar que por término medio las cooperativas, según la Recomendación de la Comisión Europea</w:t>
      </w:r>
      <w:r w:rsidRPr="00D675E5">
        <w:rPr>
          <w:rFonts w:ascii="Arial" w:hAnsi="Arial"/>
          <w:caps w:val="0"/>
          <w:szCs w:val="20"/>
          <w:lang w:val="es-ES" w:eastAsia="es-ES"/>
        </w:rPr>
        <w:footnoteReference w:id="2"/>
      </w:r>
      <w:r w:rsidRPr="00D675E5">
        <w:rPr>
          <w:rFonts w:ascii="Arial" w:hAnsi="Arial"/>
          <w:caps w:val="0"/>
          <w:szCs w:val="20"/>
          <w:lang w:val="es-ES" w:eastAsia="es-ES"/>
        </w:rPr>
        <w:t xml:space="preserve">, de 6 de mayo de 2003, sobre la definición de microempresas, pequeñas y medianas empresas, deben ser consideradas pequeñas puesto que aunque el volumen de negocio anual supera los 10 millones de euros (límite establecido para diferenciar pequeñas y medianas empresas), el activo total se encuentra en el rango establecido así como el número medio de empleados, que se sitúa en 23, por lo que siguiendo las consideraciones de la Recomendación de la Comisión en la que se indica que “el criterio del número de personas ocupadas […] sigue siendo indudablemente uno de los más significativos y tiene que imponerse como criterio principal”, debería concluirse que la clasificación como </w:t>
      </w:r>
      <w:r w:rsidRPr="00D675E5">
        <w:rPr>
          <w:rFonts w:ascii="Arial" w:hAnsi="Arial"/>
          <w:i/>
          <w:caps w:val="0"/>
          <w:szCs w:val="20"/>
          <w:lang w:val="es-ES" w:eastAsia="es-ES"/>
        </w:rPr>
        <w:t>pequeñas</w:t>
      </w:r>
      <w:r w:rsidRPr="00D675E5">
        <w:rPr>
          <w:rFonts w:ascii="Arial" w:hAnsi="Arial"/>
          <w:caps w:val="0"/>
          <w:szCs w:val="20"/>
          <w:lang w:val="es-ES" w:eastAsia="es-ES"/>
        </w:rPr>
        <w:t xml:space="preserve"> sería la más adecuada. </w:t>
      </w:r>
    </w:p>
    <w:p w:rsidR="000A5B26" w:rsidRDefault="000A5B26" w:rsidP="000A5B26">
      <w:pPr>
        <w:pStyle w:val="Numeracindetablasyfiguras"/>
        <w:spacing w:before="0"/>
        <w:ind w:firstLine="567"/>
        <w:jc w:val="both"/>
        <w:rPr>
          <w:rFonts w:ascii="Arial" w:hAnsi="Arial"/>
          <w:caps w:val="0"/>
          <w:szCs w:val="20"/>
          <w:lang w:val="es-ES" w:eastAsia="es-ES"/>
        </w:rPr>
      </w:pPr>
    </w:p>
    <w:p w:rsidR="00C2288B" w:rsidRPr="002E14E4" w:rsidRDefault="000A5B26" w:rsidP="002E14E4">
      <w:pPr>
        <w:pStyle w:val="Numeracindetablasyfiguras"/>
        <w:spacing w:before="0"/>
        <w:ind w:firstLine="567"/>
        <w:jc w:val="both"/>
        <w:rPr>
          <w:rFonts w:ascii="Arial" w:hAnsi="Arial"/>
          <w:caps w:val="0"/>
          <w:szCs w:val="20"/>
          <w:lang w:val="es-ES" w:eastAsia="es-ES"/>
        </w:rPr>
      </w:pPr>
      <w:r w:rsidRPr="00D675E5">
        <w:rPr>
          <w:rFonts w:ascii="Arial" w:hAnsi="Arial"/>
          <w:caps w:val="0"/>
          <w:szCs w:val="20"/>
          <w:lang w:val="es-ES" w:eastAsia="es-ES"/>
        </w:rPr>
        <w:t xml:space="preserve">No obstante, a tenor de la dispersión que se observa en los datos, parece más adecuado tomar como referencia en estas variables los valores de la mediana para realizar la clasificación. En este caso se verifican dos de las condiciones para la clasificación como microempresa, ya que el balance asciende a 1,95 millones de euros mientras que el número de empleados es de 6’5, por lo que parece correcto concluir que deberíamos asumir que la dimensión empresarial predominante es la de </w:t>
      </w:r>
      <w:r w:rsidRPr="00D675E5">
        <w:rPr>
          <w:rFonts w:ascii="Arial" w:hAnsi="Arial"/>
          <w:i/>
          <w:caps w:val="0"/>
          <w:szCs w:val="20"/>
          <w:lang w:val="es-ES" w:eastAsia="es-ES"/>
        </w:rPr>
        <w:t>microempresa</w:t>
      </w:r>
      <w:r w:rsidRPr="00D675E5">
        <w:rPr>
          <w:rFonts w:ascii="Arial" w:hAnsi="Arial"/>
          <w:caps w:val="0"/>
          <w:szCs w:val="20"/>
          <w:lang w:val="es-ES" w:eastAsia="es-ES"/>
        </w:rPr>
        <w:t>, lo que concuerda con la realidad actual del sector cooperativo agroalimentario, caracterizado por la pequeña dimensión de sus entidades.</w:t>
      </w:r>
    </w:p>
    <w:p w:rsidR="006C14F6" w:rsidRPr="006C14F6" w:rsidRDefault="006C14F6" w:rsidP="006C14F6">
      <w:pPr>
        <w:ind w:firstLine="567"/>
        <w:jc w:val="both"/>
        <w:rPr>
          <w:rFonts w:ascii="Arial" w:hAnsi="Arial" w:cs="Arial"/>
          <w:sz w:val="20"/>
          <w:szCs w:val="20"/>
        </w:rPr>
      </w:pPr>
    </w:p>
    <w:p w:rsidR="006C14F6" w:rsidRPr="006C14F6" w:rsidRDefault="006C14F6" w:rsidP="006C14F6">
      <w:pPr>
        <w:pStyle w:val="Numeracindetablasyfiguras"/>
        <w:spacing w:before="0"/>
        <w:rPr>
          <w:rFonts w:ascii="Arial" w:hAnsi="Arial" w:cs="Arial"/>
          <w:szCs w:val="20"/>
          <w:lang w:val="es-ES"/>
        </w:rPr>
      </w:pPr>
      <w:r w:rsidRPr="006C14F6">
        <w:rPr>
          <w:rFonts w:ascii="Arial" w:hAnsi="Arial" w:cs="Arial"/>
          <w:szCs w:val="20"/>
          <w:lang w:val="es-ES"/>
        </w:rPr>
        <w:t>CUADRO 2</w:t>
      </w:r>
    </w:p>
    <w:p w:rsidR="006C14F6" w:rsidRPr="006C14F6" w:rsidRDefault="006C14F6" w:rsidP="006C14F6">
      <w:pPr>
        <w:pStyle w:val="Ttulodetablasyfiguras"/>
        <w:spacing w:after="0"/>
        <w:rPr>
          <w:rFonts w:ascii="Arial" w:hAnsi="Arial" w:cs="Arial"/>
          <w:b w:val="0"/>
          <w:szCs w:val="20"/>
          <w:lang w:val="es-ES"/>
        </w:rPr>
      </w:pPr>
      <w:r w:rsidRPr="006C14F6">
        <w:rPr>
          <w:rFonts w:ascii="Arial" w:hAnsi="Arial" w:cs="Arial"/>
          <w:b w:val="0"/>
          <w:szCs w:val="20"/>
          <w:lang w:val="es-ES"/>
        </w:rPr>
        <w:t>Estadísticos descriptivos relativos a la muestra de 2009</w:t>
      </w:r>
    </w:p>
    <w:tbl>
      <w:tblPr>
        <w:tblW w:w="8670"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2496"/>
        <w:gridCol w:w="933"/>
        <w:gridCol w:w="1179"/>
        <w:gridCol w:w="1284"/>
        <w:gridCol w:w="1389"/>
        <w:gridCol w:w="1389"/>
      </w:tblGrid>
      <w:tr w:rsidR="006C71BC" w:rsidRPr="004A292E" w:rsidTr="004A292E">
        <w:trPr>
          <w:cantSplit/>
          <w:tblHeader/>
          <w:jc w:val="center"/>
        </w:trPr>
        <w:tc>
          <w:tcPr>
            <w:tcW w:w="2496" w:type="dxa"/>
            <w:tcBorders>
              <w:top w:val="single" w:sz="18" w:space="0" w:color="000000"/>
              <w:left w:val="single" w:sz="18" w:space="0" w:color="000000"/>
              <w:bottom w:val="single" w:sz="18" w:space="0" w:color="000000"/>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rPr>
                <w:rFonts w:ascii="Arial" w:hAnsi="Arial" w:cs="Arial"/>
                <w:sz w:val="16"/>
                <w:szCs w:val="16"/>
              </w:rPr>
            </w:pPr>
          </w:p>
        </w:tc>
        <w:tc>
          <w:tcPr>
            <w:tcW w:w="933" w:type="dxa"/>
            <w:tcBorders>
              <w:top w:val="single" w:sz="18" w:space="0" w:color="000000"/>
              <w:left w:val="single" w:sz="8" w:space="0" w:color="000000"/>
              <w:bottom w:val="single" w:sz="18" w:space="0" w:color="000000"/>
              <w:right w:val="single" w:sz="8"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sz w:val="16"/>
                <w:szCs w:val="16"/>
              </w:rPr>
            </w:pPr>
            <w:r w:rsidRPr="004A292E">
              <w:rPr>
                <w:rFonts w:ascii="Arial" w:hAnsi="Arial" w:cs="Arial"/>
                <w:sz w:val="16"/>
                <w:szCs w:val="16"/>
              </w:rPr>
              <w:t>Mínimo</w:t>
            </w:r>
          </w:p>
        </w:tc>
        <w:tc>
          <w:tcPr>
            <w:tcW w:w="1179" w:type="dxa"/>
            <w:tcBorders>
              <w:top w:val="single" w:sz="18" w:space="0" w:color="000000"/>
              <w:left w:val="single" w:sz="8" w:space="0" w:color="000000"/>
              <w:bottom w:val="single" w:sz="18" w:space="0" w:color="000000"/>
              <w:right w:val="single" w:sz="8"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sz w:val="16"/>
                <w:szCs w:val="16"/>
              </w:rPr>
            </w:pPr>
            <w:r w:rsidRPr="004A292E">
              <w:rPr>
                <w:rFonts w:ascii="Arial" w:hAnsi="Arial" w:cs="Arial"/>
                <w:sz w:val="16"/>
                <w:szCs w:val="16"/>
              </w:rPr>
              <w:t>Máximo</w:t>
            </w:r>
          </w:p>
        </w:tc>
        <w:tc>
          <w:tcPr>
            <w:tcW w:w="1284" w:type="dxa"/>
            <w:tcBorders>
              <w:top w:val="single" w:sz="18" w:space="0" w:color="000000"/>
              <w:left w:val="single" w:sz="8" w:space="0" w:color="000000"/>
              <w:bottom w:val="single" w:sz="18" w:space="0" w:color="000000"/>
              <w:right w:val="single" w:sz="8"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sz w:val="16"/>
                <w:szCs w:val="16"/>
              </w:rPr>
            </w:pPr>
            <w:r w:rsidRPr="004A292E">
              <w:rPr>
                <w:rFonts w:ascii="Arial" w:hAnsi="Arial" w:cs="Arial"/>
                <w:sz w:val="16"/>
                <w:szCs w:val="16"/>
              </w:rPr>
              <w:t>Media</w:t>
            </w:r>
          </w:p>
        </w:tc>
        <w:tc>
          <w:tcPr>
            <w:tcW w:w="1389" w:type="dxa"/>
            <w:tcBorders>
              <w:top w:val="single" w:sz="18" w:space="0" w:color="000000"/>
              <w:left w:val="single" w:sz="8" w:space="0" w:color="000000"/>
              <w:bottom w:val="single" w:sz="18" w:space="0" w:color="000000"/>
              <w:right w:val="single" w:sz="18"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sz w:val="16"/>
                <w:szCs w:val="16"/>
              </w:rPr>
            </w:pPr>
            <w:proofErr w:type="spellStart"/>
            <w:r w:rsidRPr="004A292E">
              <w:rPr>
                <w:rFonts w:ascii="Arial" w:hAnsi="Arial" w:cs="Arial"/>
                <w:sz w:val="16"/>
                <w:szCs w:val="16"/>
              </w:rPr>
              <w:t>Desv</w:t>
            </w:r>
            <w:proofErr w:type="spellEnd"/>
            <w:r w:rsidRPr="004A292E">
              <w:rPr>
                <w:rFonts w:ascii="Arial" w:hAnsi="Arial" w:cs="Arial"/>
                <w:sz w:val="16"/>
                <w:szCs w:val="16"/>
              </w:rPr>
              <w:t xml:space="preserve">. </w:t>
            </w:r>
            <w:proofErr w:type="spellStart"/>
            <w:proofErr w:type="gramStart"/>
            <w:r w:rsidRPr="004A292E">
              <w:rPr>
                <w:rFonts w:ascii="Arial" w:hAnsi="Arial" w:cs="Arial"/>
                <w:sz w:val="16"/>
                <w:szCs w:val="16"/>
              </w:rPr>
              <w:t>típ</w:t>
            </w:r>
            <w:proofErr w:type="spellEnd"/>
            <w:proofErr w:type="gramEnd"/>
            <w:r w:rsidRPr="004A292E">
              <w:rPr>
                <w:rFonts w:ascii="Arial" w:hAnsi="Arial" w:cs="Arial"/>
                <w:sz w:val="16"/>
                <w:szCs w:val="16"/>
              </w:rPr>
              <w:t>.</w:t>
            </w:r>
          </w:p>
        </w:tc>
        <w:tc>
          <w:tcPr>
            <w:tcW w:w="1389" w:type="dxa"/>
            <w:tcBorders>
              <w:top w:val="single" w:sz="18" w:space="0" w:color="000000"/>
              <w:left w:val="single" w:sz="8" w:space="0" w:color="000000"/>
              <w:bottom w:val="single" w:sz="18" w:space="0" w:color="000000"/>
              <w:right w:val="single" w:sz="18" w:space="0" w:color="000000"/>
            </w:tcBorders>
            <w:shd w:val="clear" w:color="auto" w:fill="FFFFFF"/>
          </w:tcPr>
          <w:p w:rsidR="006C71BC" w:rsidRPr="004A292E" w:rsidRDefault="006C71BC" w:rsidP="006C71BC">
            <w:pPr>
              <w:autoSpaceDE w:val="0"/>
              <w:autoSpaceDN w:val="0"/>
              <w:adjustRightInd w:val="0"/>
              <w:spacing w:line="320" w:lineRule="atLeast"/>
              <w:jc w:val="center"/>
              <w:rPr>
                <w:rFonts w:ascii="Arial" w:hAnsi="Arial" w:cs="Arial"/>
                <w:sz w:val="16"/>
                <w:szCs w:val="16"/>
              </w:rPr>
            </w:pPr>
            <w:r w:rsidRPr="004A292E">
              <w:rPr>
                <w:rFonts w:ascii="Arial" w:hAnsi="Arial" w:cs="Arial"/>
                <w:sz w:val="16"/>
                <w:szCs w:val="16"/>
              </w:rPr>
              <w:t>Mediana</w:t>
            </w:r>
          </w:p>
        </w:tc>
      </w:tr>
      <w:tr w:rsidR="006C71BC" w:rsidRPr="004A292E" w:rsidTr="004A292E">
        <w:trPr>
          <w:cantSplit/>
          <w:tblHeader/>
          <w:jc w:val="center"/>
        </w:trPr>
        <w:tc>
          <w:tcPr>
            <w:tcW w:w="2496" w:type="dxa"/>
            <w:tcBorders>
              <w:top w:val="single" w:sz="18" w:space="0" w:color="000000"/>
              <w:left w:val="single" w:sz="18" w:space="0" w:color="000000"/>
              <w:bottom w:val="nil"/>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sz w:val="16"/>
                <w:szCs w:val="16"/>
              </w:rPr>
            </w:pPr>
            <w:r w:rsidRPr="004A292E">
              <w:rPr>
                <w:rFonts w:ascii="Arial" w:hAnsi="Arial" w:cs="Arial"/>
                <w:sz w:val="16"/>
                <w:szCs w:val="16"/>
              </w:rPr>
              <w:t>Activo Total (mil €)</w:t>
            </w:r>
          </w:p>
        </w:tc>
        <w:tc>
          <w:tcPr>
            <w:tcW w:w="933" w:type="dxa"/>
            <w:tcBorders>
              <w:top w:val="single" w:sz="18" w:space="0" w:color="000000"/>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104,00</w:t>
            </w:r>
          </w:p>
        </w:tc>
        <w:tc>
          <w:tcPr>
            <w:tcW w:w="1179" w:type="dxa"/>
            <w:tcBorders>
              <w:top w:val="single" w:sz="18" w:space="0" w:color="000000"/>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181.328,00</w:t>
            </w:r>
          </w:p>
        </w:tc>
        <w:tc>
          <w:tcPr>
            <w:tcW w:w="1284" w:type="dxa"/>
            <w:tcBorders>
              <w:top w:val="single" w:sz="18" w:space="0" w:color="000000"/>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8.138,9778</w:t>
            </w:r>
          </w:p>
        </w:tc>
        <w:tc>
          <w:tcPr>
            <w:tcW w:w="1389" w:type="dxa"/>
            <w:tcBorders>
              <w:top w:val="single" w:sz="18" w:space="0" w:color="000000"/>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22.634,64566</w:t>
            </w:r>
          </w:p>
        </w:tc>
        <w:tc>
          <w:tcPr>
            <w:tcW w:w="1389" w:type="dxa"/>
            <w:tcBorders>
              <w:top w:val="single" w:sz="18" w:space="0" w:color="000000"/>
              <w:left w:val="single" w:sz="8" w:space="0" w:color="000000"/>
              <w:bottom w:val="nil"/>
              <w:right w:val="single" w:sz="18" w:space="0" w:color="000000"/>
            </w:tcBorders>
            <w:shd w:val="clear" w:color="auto" w:fill="FFFFFF"/>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1.948,0000</w:t>
            </w:r>
          </w:p>
        </w:tc>
      </w:tr>
      <w:tr w:rsidR="006C71BC" w:rsidRPr="004A292E" w:rsidTr="004A292E">
        <w:trPr>
          <w:cantSplit/>
          <w:tblHeader/>
          <w:jc w:val="center"/>
        </w:trPr>
        <w:tc>
          <w:tcPr>
            <w:tcW w:w="2496"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sz w:val="16"/>
                <w:szCs w:val="16"/>
              </w:rPr>
            </w:pPr>
            <w:r w:rsidRPr="004A292E">
              <w:rPr>
                <w:rFonts w:ascii="Arial" w:hAnsi="Arial" w:cs="Arial"/>
                <w:sz w:val="16"/>
                <w:szCs w:val="16"/>
              </w:rPr>
              <w:t>Cifra de ventas (mil €)</w:t>
            </w:r>
          </w:p>
        </w:tc>
        <w:tc>
          <w:tcPr>
            <w:tcW w:w="933"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77,00</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439.131,00</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12.927,6556</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50.925,21748</w:t>
            </w:r>
          </w:p>
        </w:tc>
        <w:tc>
          <w:tcPr>
            <w:tcW w:w="1389" w:type="dxa"/>
            <w:tcBorders>
              <w:top w:val="nil"/>
              <w:left w:val="single" w:sz="8" w:space="0" w:color="000000"/>
              <w:bottom w:val="nil"/>
              <w:right w:val="single" w:sz="18" w:space="0" w:color="000000"/>
            </w:tcBorders>
            <w:shd w:val="clear" w:color="auto" w:fill="FFFFFF"/>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2.322,0000</w:t>
            </w:r>
          </w:p>
        </w:tc>
      </w:tr>
      <w:tr w:rsidR="006C71BC" w:rsidRPr="004A292E" w:rsidTr="004A292E">
        <w:trPr>
          <w:cantSplit/>
          <w:tblHeader/>
          <w:jc w:val="center"/>
        </w:trPr>
        <w:tc>
          <w:tcPr>
            <w:tcW w:w="2496"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sz w:val="16"/>
                <w:szCs w:val="16"/>
              </w:rPr>
            </w:pPr>
            <w:r w:rsidRPr="004A292E">
              <w:rPr>
                <w:rFonts w:ascii="Arial" w:hAnsi="Arial" w:cs="Arial"/>
                <w:sz w:val="16"/>
                <w:szCs w:val="16"/>
              </w:rPr>
              <w:t>Número empleados</w:t>
            </w:r>
          </w:p>
        </w:tc>
        <w:tc>
          <w:tcPr>
            <w:tcW w:w="933"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1,00</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326,00</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23,0556</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51,29938</w:t>
            </w:r>
          </w:p>
        </w:tc>
        <w:tc>
          <w:tcPr>
            <w:tcW w:w="1389" w:type="dxa"/>
            <w:tcBorders>
              <w:top w:val="nil"/>
              <w:left w:val="single" w:sz="8" w:space="0" w:color="000000"/>
              <w:bottom w:val="nil"/>
              <w:right w:val="single" w:sz="18" w:space="0" w:color="000000"/>
            </w:tcBorders>
            <w:shd w:val="clear" w:color="auto" w:fill="FFFFFF"/>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6,5000</w:t>
            </w:r>
          </w:p>
        </w:tc>
      </w:tr>
      <w:tr w:rsidR="006C71BC" w:rsidRPr="004A292E" w:rsidTr="004A292E">
        <w:trPr>
          <w:cantSplit/>
          <w:tblHeader/>
          <w:jc w:val="center"/>
        </w:trPr>
        <w:tc>
          <w:tcPr>
            <w:tcW w:w="2496"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sz w:val="16"/>
                <w:szCs w:val="16"/>
              </w:rPr>
            </w:pPr>
            <w:r w:rsidRPr="004A292E">
              <w:rPr>
                <w:rFonts w:ascii="Arial" w:hAnsi="Arial" w:cs="Arial"/>
                <w:sz w:val="16"/>
                <w:szCs w:val="16"/>
              </w:rPr>
              <w:t>Variación Ventas (2008-09)</w:t>
            </w:r>
          </w:p>
        </w:tc>
        <w:tc>
          <w:tcPr>
            <w:tcW w:w="933"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FF0000"/>
                <w:sz w:val="16"/>
                <w:szCs w:val="16"/>
              </w:rPr>
            </w:pPr>
            <w:r w:rsidRPr="004A292E">
              <w:rPr>
                <w:rFonts w:ascii="Arial" w:hAnsi="Arial" w:cs="Arial"/>
                <w:color w:val="000000"/>
                <w:sz w:val="16"/>
                <w:szCs w:val="16"/>
              </w:rPr>
              <w:t>,47</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FF0000"/>
                <w:sz w:val="16"/>
                <w:szCs w:val="16"/>
              </w:rPr>
            </w:pPr>
            <w:r w:rsidRPr="004A292E">
              <w:rPr>
                <w:rFonts w:ascii="Arial" w:hAnsi="Arial" w:cs="Arial"/>
                <w:color w:val="000000"/>
                <w:sz w:val="16"/>
                <w:szCs w:val="16"/>
              </w:rPr>
              <w:t>2,78</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,9783</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,39876</w:t>
            </w:r>
          </w:p>
        </w:tc>
        <w:tc>
          <w:tcPr>
            <w:tcW w:w="1389" w:type="dxa"/>
            <w:tcBorders>
              <w:top w:val="nil"/>
              <w:left w:val="single" w:sz="8" w:space="0" w:color="000000"/>
              <w:bottom w:val="nil"/>
              <w:right w:val="single" w:sz="18" w:space="0" w:color="000000"/>
            </w:tcBorders>
            <w:shd w:val="clear" w:color="auto" w:fill="FFFFFF"/>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,8763</w:t>
            </w:r>
          </w:p>
        </w:tc>
      </w:tr>
      <w:tr w:rsidR="006C71BC" w:rsidRPr="004A292E" w:rsidTr="004A292E">
        <w:trPr>
          <w:cantSplit/>
          <w:tblHeader/>
          <w:jc w:val="center"/>
        </w:trPr>
        <w:tc>
          <w:tcPr>
            <w:tcW w:w="2496"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sz w:val="16"/>
                <w:szCs w:val="16"/>
              </w:rPr>
            </w:pPr>
            <w:r w:rsidRPr="004A292E">
              <w:rPr>
                <w:rFonts w:ascii="Arial" w:hAnsi="Arial" w:cs="Arial"/>
                <w:sz w:val="16"/>
                <w:szCs w:val="16"/>
              </w:rPr>
              <w:t>Endeudamiento (%)</w:t>
            </w:r>
          </w:p>
        </w:tc>
        <w:tc>
          <w:tcPr>
            <w:tcW w:w="933"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,00</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,99</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,4011</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,21691</w:t>
            </w:r>
          </w:p>
        </w:tc>
        <w:tc>
          <w:tcPr>
            <w:tcW w:w="1389" w:type="dxa"/>
            <w:tcBorders>
              <w:top w:val="nil"/>
              <w:left w:val="single" w:sz="8" w:space="0" w:color="000000"/>
              <w:bottom w:val="nil"/>
              <w:right w:val="single" w:sz="18" w:space="0" w:color="000000"/>
            </w:tcBorders>
            <w:shd w:val="clear" w:color="auto" w:fill="FFFFFF"/>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,3748</w:t>
            </w:r>
          </w:p>
        </w:tc>
      </w:tr>
      <w:tr w:rsidR="006C71BC" w:rsidRPr="004A292E" w:rsidTr="004A292E">
        <w:trPr>
          <w:cantSplit/>
          <w:tblHeader/>
          <w:jc w:val="center"/>
        </w:trPr>
        <w:tc>
          <w:tcPr>
            <w:tcW w:w="2496"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sz w:val="16"/>
                <w:szCs w:val="16"/>
              </w:rPr>
            </w:pPr>
            <w:r w:rsidRPr="004A292E">
              <w:rPr>
                <w:rFonts w:ascii="Arial" w:hAnsi="Arial" w:cs="Arial"/>
                <w:sz w:val="16"/>
                <w:szCs w:val="16"/>
              </w:rPr>
              <w:lastRenderedPageBreak/>
              <w:t>Liquidez (Activo Corriente/Pasivo Corriente)</w:t>
            </w:r>
          </w:p>
        </w:tc>
        <w:tc>
          <w:tcPr>
            <w:tcW w:w="933"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,21</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59,00</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2,7775</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7,77088</w:t>
            </w:r>
          </w:p>
        </w:tc>
        <w:tc>
          <w:tcPr>
            <w:tcW w:w="1389" w:type="dxa"/>
            <w:tcBorders>
              <w:top w:val="nil"/>
              <w:left w:val="single" w:sz="8" w:space="0" w:color="000000"/>
              <w:bottom w:val="nil"/>
              <w:right w:val="single" w:sz="18" w:space="0" w:color="000000"/>
            </w:tcBorders>
            <w:shd w:val="clear" w:color="auto" w:fill="FFFFFF"/>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1,2498</w:t>
            </w:r>
          </w:p>
        </w:tc>
      </w:tr>
      <w:tr w:rsidR="006C71BC" w:rsidRPr="004A292E" w:rsidTr="004A292E">
        <w:trPr>
          <w:cantSplit/>
          <w:tblHeader/>
          <w:jc w:val="center"/>
        </w:trPr>
        <w:tc>
          <w:tcPr>
            <w:tcW w:w="2496"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sz w:val="16"/>
                <w:szCs w:val="16"/>
              </w:rPr>
            </w:pPr>
            <w:r w:rsidRPr="004A292E">
              <w:rPr>
                <w:rFonts w:ascii="Arial" w:hAnsi="Arial" w:cs="Arial"/>
                <w:sz w:val="16"/>
                <w:szCs w:val="16"/>
              </w:rPr>
              <w:t>Ratio Capitalización</w:t>
            </w:r>
          </w:p>
        </w:tc>
        <w:tc>
          <w:tcPr>
            <w:tcW w:w="933"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,01</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1,52</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,3721</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,26027</w:t>
            </w:r>
          </w:p>
        </w:tc>
        <w:tc>
          <w:tcPr>
            <w:tcW w:w="1389" w:type="dxa"/>
            <w:tcBorders>
              <w:top w:val="nil"/>
              <w:left w:val="single" w:sz="8" w:space="0" w:color="000000"/>
              <w:bottom w:val="nil"/>
              <w:right w:val="single" w:sz="18" w:space="0" w:color="000000"/>
            </w:tcBorders>
            <w:shd w:val="clear" w:color="auto" w:fill="FFFFFF"/>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,3175</w:t>
            </w:r>
          </w:p>
        </w:tc>
      </w:tr>
      <w:tr w:rsidR="006C71BC" w:rsidRPr="004A292E" w:rsidTr="004A292E">
        <w:trPr>
          <w:cantSplit/>
          <w:tblHeader/>
          <w:jc w:val="center"/>
        </w:trPr>
        <w:tc>
          <w:tcPr>
            <w:tcW w:w="2496"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sz w:val="16"/>
                <w:szCs w:val="16"/>
              </w:rPr>
            </w:pPr>
            <w:r w:rsidRPr="004A292E">
              <w:rPr>
                <w:rFonts w:ascii="Arial" w:hAnsi="Arial" w:cs="Arial"/>
                <w:sz w:val="16"/>
                <w:szCs w:val="16"/>
              </w:rPr>
              <w:t xml:space="preserve">Amortización/Gastos </w:t>
            </w:r>
          </w:p>
        </w:tc>
        <w:tc>
          <w:tcPr>
            <w:tcW w:w="933"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,00</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,04</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,0504</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,06772</w:t>
            </w:r>
          </w:p>
        </w:tc>
        <w:tc>
          <w:tcPr>
            <w:tcW w:w="1389" w:type="dxa"/>
            <w:tcBorders>
              <w:top w:val="nil"/>
              <w:left w:val="single" w:sz="8" w:space="0" w:color="000000"/>
              <w:bottom w:val="nil"/>
              <w:right w:val="single" w:sz="18" w:space="0" w:color="000000"/>
            </w:tcBorders>
            <w:shd w:val="clear" w:color="auto" w:fill="FFFFFF"/>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,0280</w:t>
            </w:r>
          </w:p>
        </w:tc>
      </w:tr>
      <w:tr w:rsidR="006C71BC" w:rsidRPr="004A292E" w:rsidTr="004A292E">
        <w:trPr>
          <w:cantSplit/>
          <w:tblHeader/>
          <w:jc w:val="center"/>
        </w:trPr>
        <w:tc>
          <w:tcPr>
            <w:tcW w:w="2496" w:type="dxa"/>
            <w:tcBorders>
              <w:top w:val="nil"/>
              <w:left w:val="single" w:sz="18" w:space="0" w:color="000000"/>
              <w:bottom w:val="nil"/>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sz w:val="16"/>
                <w:szCs w:val="16"/>
              </w:rPr>
            </w:pPr>
            <w:r w:rsidRPr="004A292E">
              <w:rPr>
                <w:rFonts w:ascii="Arial" w:hAnsi="Arial" w:cs="Arial"/>
                <w:sz w:val="16"/>
                <w:szCs w:val="16"/>
              </w:rPr>
              <w:t>Activo Corriente/ Activo Total</w:t>
            </w:r>
          </w:p>
        </w:tc>
        <w:tc>
          <w:tcPr>
            <w:tcW w:w="933"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,06</w:t>
            </w:r>
          </w:p>
        </w:tc>
        <w:tc>
          <w:tcPr>
            <w:tcW w:w="117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1,00</w:t>
            </w:r>
          </w:p>
        </w:tc>
        <w:tc>
          <w:tcPr>
            <w:tcW w:w="1284"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,5149</w:t>
            </w:r>
          </w:p>
        </w:tc>
        <w:tc>
          <w:tcPr>
            <w:tcW w:w="1389" w:type="dxa"/>
            <w:tcBorders>
              <w:top w:val="nil"/>
              <w:left w:val="single" w:sz="8" w:space="0" w:color="000000"/>
              <w:bottom w:val="nil"/>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,22415</w:t>
            </w:r>
          </w:p>
        </w:tc>
        <w:tc>
          <w:tcPr>
            <w:tcW w:w="1389" w:type="dxa"/>
            <w:tcBorders>
              <w:top w:val="nil"/>
              <w:left w:val="single" w:sz="8" w:space="0" w:color="000000"/>
              <w:bottom w:val="nil"/>
              <w:right w:val="single" w:sz="18" w:space="0" w:color="000000"/>
            </w:tcBorders>
            <w:shd w:val="clear" w:color="auto" w:fill="FFFFFF"/>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,5251</w:t>
            </w:r>
          </w:p>
        </w:tc>
      </w:tr>
      <w:tr w:rsidR="006C71BC" w:rsidRPr="004A292E" w:rsidTr="004A292E">
        <w:trPr>
          <w:cantSplit/>
          <w:tblHeader/>
          <w:jc w:val="center"/>
        </w:trPr>
        <w:tc>
          <w:tcPr>
            <w:tcW w:w="2496" w:type="dxa"/>
            <w:tcBorders>
              <w:top w:val="nil"/>
              <w:left w:val="single" w:sz="18" w:space="0" w:color="000000"/>
              <w:bottom w:val="single" w:sz="18" w:space="0" w:color="000000"/>
              <w:right w:val="single" w:sz="18"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sz w:val="16"/>
                <w:szCs w:val="16"/>
              </w:rPr>
            </w:pPr>
            <w:r w:rsidRPr="004A292E">
              <w:rPr>
                <w:rFonts w:ascii="Arial" w:hAnsi="Arial" w:cs="Arial"/>
                <w:sz w:val="16"/>
                <w:szCs w:val="16"/>
              </w:rPr>
              <w:t>Rotación Activo Total</w:t>
            </w:r>
          </w:p>
        </w:tc>
        <w:tc>
          <w:tcPr>
            <w:tcW w:w="933" w:type="dxa"/>
            <w:tcBorders>
              <w:top w:val="nil"/>
              <w:left w:val="single" w:sz="18" w:space="0" w:color="000000"/>
              <w:bottom w:val="single" w:sz="18" w:space="0" w:color="000000"/>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,06</w:t>
            </w:r>
          </w:p>
        </w:tc>
        <w:tc>
          <w:tcPr>
            <w:tcW w:w="1179" w:type="dxa"/>
            <w:tcBorders>
              <w:top w:val="nil"/>
              <w:left w:val="single" w:sz="8" w:space="0" w:color="000000"/>
              <w:bottom w:val="single" w:sz="18" w:space="0" w:color="000000"/>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7,18</w:t>
            </w:r>
          </w:p>
        </w:tc>
        <w:tc>
          <w:tcPr>
            <w:tcW w:w="1284" w:type="dxa"/>
            <w:tcBorders>
              <w:top w:val="nil"/>
              <w:left w:val="single" w:sz="8" w:space="0" w:color="000000"/>
              <w:bottom w:val="single" w:sz="18" w:space="0" w:color="000000"/>
              <w:right w:val="single" w:sz="8"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1,7221</w:t>
            </w:r>
          </w:p>
        </w:tc>
        <w:tc>
          <w:tcPr>
            <w:tcW w:w="1389" w:type="dxa"/>
            <w:tcBorders>
              <w:top w:val="nil"/>
              <w:left w:val="single" w:sz="8" w:space="0" w:color="000000"/>
              <w:bottom w:val="single" w:sz="18" w:space="0" w:color="000000"/>
              <w:right w:val="single" w:sz="12"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1,59156</w:t>
            </w:r>
          </w:p>
        </w:tc>
        <w:tc>
          <w:tcPr>
            <w:tcW w:w="1389" w:type="dxa"/>
            <w:tcBorders>
              <w:top w:val="nil"/>
              <w:left w:val="single" w:sz="8" w:space="0" w:color="000000"/>
              <w:bottom w:val="single" w:sz="18" w:space="0" w:color="000000"/>
              <w:right w:val="single" w:sz="18" w:space="0" w:color="000000"/>
            </w:tcBorders>
            <w:shd w:val="clear" w:color="auto" w:fill="FFFFFF"/>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6"/>
                <w:szCs w:val="16"/>
              </w:rPr>
            </w:pPr>
            <w:r w:rsidRPr="004A292E">
              <w:rPr>
                <w:rFonts w:ascii="Arial" w:hAnsi="Arial" w:cs="Arial"/>
                <w:color w:val="000000"/>
                <w:sz w:val="16"/>
                <w:szCs w:val="16"/>
              </w:rPr>
              <w:t>1,1928</w:t>
            </w:r>
          </w:p>
        </w:tc>
      </w:tr>
    </w:tbl>
    <w:p w:rsidR="000B1F52" w:rsidRDefault="006C14F6" w:rsidP="000B1F52">
      <w:pPr>
        <w:rPr>
          <w:rFonts w:ascii="Arial" w:hAnsi="Arial" w:cs="Arial"/>
          <w:sz w:val="18"/>
          <w:szCs w:val="18"/>
        </w:rPr>
      </w:pPr>
      <w:r>
        <w:rPr>
          <w:rFonts w:ascii="Arial" w:hAnsi="Arial" w:cs="Arial"/>
          <w:sz w:val="18"/>
          <w:szCs w:val="18"/>
        </w:rPr>
        <w:t>FUENTE: Elaboración propia.</w:t>
      </w:r>
    </w:p>
    <w:p w:rsidR="006C14F6" w:rsidRDefault="006C14F6" w:rsidP="000B1F52">
      <w:pPr>
        <w:rPr>
          <w:rFonts w:ascii="Arial" w:hAnsi="Arial" w:cs="Arial"/>
          <w:sz w:val="18"/>
          <w:szCs w:val="18"/>
        </w:rPr>
      </w:pPr>
    </w:p>
    <w:p w:rsidR="006C71BC" w:rsidRPr="000A5B26" w:rsidRDefault="000A5B26" w:rsidP="000A5B26">
      <w:pPr>
        <w:pStyle w:val="Textonotapie"/>
        <w:ind w:left="0" w:firstLine="567"/>
        <w:jc w:val="both"/>
        <w:rPr>
          <w:rFonts w:ascii="Arial" w:hAnsi="Arial"/>
          <w:sz w:val="20"/>
        </w:rPr>
      </w:pPr>
      <w:r w:rsidRPr="00D675E5">
        <w:rPr>
          <w:rFonts w:ascii="Arial" w:hAnsi="Arial"/>
          <w:sz w:val="20"/>
        </w:rPr>
        <w:t xml:space="preserve">Sobre la evolución de los indicadores en los años a estudio, y tomando como referencia los valores de la mediana al considerarlos más representativos de la muestra, se observa cierta disparidad en las variables relacionadas con la dimensión (activo total, cifra de ventas y número de empleados). Por una parte el activo ha aumentado en un 13%, así como el número de empleados (8%), sin embargo la cifra de ventas ha disminuido en aproximadamente un 7%. </w:t>
      </w:r>
    </w:p>
    <w:p w:rsidR="006C14F6" w:rsidRPr="006C14F6" w:rsidRDefault="006C14F6" w:rsidP="006C14F6">
      <w:pPr>
        <w:ind w:firstLine="567"/>
        <w:jc w:val="both"/>
        <w:rPr>
          <w:rFonts w:ascii="Arial" w:hAnsi="Arial" w:cs="Arial"/>
          <w:sz w:val="20"/>
          <w:szCs w:val="20"/>
          <w:lang w:val="es-ES"/>
        </w:rPr>
      </w:pPr>
    </w:p>
    <w:p w:rsidR="006C14F6" w:rsidRPr="006C14F6" w:rsidRDefault="006C14F6" w:rsidP="006C14F6">
      <w:pPr>
        <w:pStyle w:val="Numeracindetablasyfiguras"/>
        <w:spacing w:before="0"/>
        <w:rPr>
          <w:rFonts w:ascii="Arial" w:hAnsi="Arial" w:cs="Arial"/>
          <w:szCs w:val="20"/>
          <w:lang w:val="es-ES"/>
        </w:rPr>
      </w:pPr>
      <w:r w:rsidRPr="006C14F6">
        <w:rPr>
          <w:rFonts w:ascii="Arial" w:hAnsi="Arial" w:cs="Arial"/>
          <w:szCs w:val="20"/>
          <w:lang w:val="es-ES"/>
        </w:rPr>
        <w:t>CUADRO 3</w:t>
      </w:r>
    </w:p>
    <w:p w:rsidR="006C14F6" w:rsidRPr="006C14F6" w:rsidRDefault="006C14F6" w:rsidP="006C14F6">
      <w:pPr>
        <w:pStyle w:val="Ttulodetablasyfiguras"/>
        <w:spacing w:after="0"/>
        <w:rPr>
          <w:rFonts w:ascii="Arial" w:hAnsi="Arial" w:cs="Arial"/>
          <w:szCs w:val="20"/>
          <w:lang w:val="es-ES"/>
        </w:rPr>
      </w:pPr>
      <w:r w:rsidRPr="006C14F6">
        <w:rPr>
          <w:rFonts w:ascii="Arial" w:hAnsi="Arial" w:cs="Arial"/>
          <w:szCs w:val="20"/>
          <w:lang w:val="es-ES"/>
        </w:rPr>
        <w:t>Comparación valores de la mediana entre 2006 y 2009</w:t>
      </w:r>
    </w:p>
    <w:tbl>
      <w:tblPr>
        <w:tblW w:w="6185"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4062"/>
        <w:gridCol w:w="950"/>
        <w:gridCol w:w="1173"/>
      </w:tblGrid>
      <w:tr w:rsidR="006C71BC" w:rsidRPr="001D6B08" w:rsidTr="006C71BC">
        <w:trPr>
          <w:cantSplit/>
          <w:tblHeader/>
          <w:jc w:val="center"/>
        </w:trPr>
        <w:tc>
          <w:tcPr>
            <w:tcW w:w="4062" w:type="dxa"/>
            <w:tcBorders>
              <w:top w:val="single" w:sz="18" w:space="0" w:color="000000"/>
              <w:left w:val="single" w:sz="18" w:space="0" w:color="000000"/>
              <w:bottom w:val="single" w:sz="18" w:space="0" w:color="000000"/>
              <w:right w:val="single" w:sz="18" w:space="0" w:color="000000"/>
            </w:tcBorders>
            <w:shd w:val="clear" w:color="auto" w:fill="FFFFFF"/>
          </w:tcPr>
          <w:p w:rsidR="006C71BC" w:rsidRPr="00D675E5" w:rsidRDefault="006C71BC" w:rsidP="006C71BC">
            <w:pPr>
              <w:autoSpaceDE w:val="0"/>
              <w:autoSpaceDN w:val="0"/>
              <w:adjustRightInd w:val="0"/>
              <w:rPr>
                <w:rFonts w:ascii="Arial" w:hAnsi="Arial" w:cs="Arial"/>
                <w:sz w:val="20"/>
                <w:szCs w:val="20"/>
              </w:rPr>
            </w:pPr>
          </w:p>
        </w:tc>
        <w:tc>
          <w:tcPr>
            <w:tcW w:w="950" w:type="dxa"/>
            <w:tcBorders>
              <w:top w:val="single" w:sz="18" w:space="0" w:color="000000"/>
              <w:left w:val="single" w:sz="8" w:space="0" w:color="000000"/>
              <w:bottom w:val="single" w:sz="18" w:space="0" w:color="000000"/>
              <w:right w:val="single" w:sz="8" w:space="0" w:color="000000"/>
            </w:tcBorders>
            <w:shd w:val="clear" w:color="auto" w:fill="FFFFFF"/>
          </w:tcPr>
          <w:p w:rsidR="006C71BC" w:rsidRPr="00D675E5" w:rsidRDefault="006C71BC" w:rsidP="006C71BC">
            <w:pPr>
              <w:autoSpaceDE w:val="0"/>
              <w:autoSpaceDN w:val="0"/>
              <w:adjustRightInd w:val="0"/>
              <w:spacing w:line="320" w:lineRule="atLeast"/>
              <w:jc w:val="center"/>
              <w:rPr>
                <w:rFonts w:ascii="Arial" w:hAnsi="Arial" w:cs="Arial"/>
                <w:sz w:val="20"/>
                <w:szCs w:val="20"/>
              </w:rPr>
            </w:pPr>
            <w:r w:rsidRPr="00D675E5">
              <w:rPr>
                <w:rFonts w:ascii="Arial" w:hAnsi="Arial" w:cs="Arial"/>
                <w:sz w:val="20"/>
                <w:szCs w:val="20"/>
              </w:rPr>
              <w:t>2006</w:t>
            </w:r>
          </w:p>
        </w:tc>
        <w:tc>
          <w:tcPr>
            <w:tcW w:w="1173" w:type="dxa"/>
            <w:tcBorders>
              <w:top w:val="single" w:sz="18" w:space="0" w:color="000000"/>
              <w:left w:val="single" w:sz="8" w:space="0" w:color="000000"/>
              <w:bottom w:val="single" w:sz="18" w:space="0" w:color="000000"/>
              <w:right w:val="single" w:sz="18" w:space="0" w:color="000000"/>
            </w:tcBorders>
            <w:shd w:val="clear" w:color="auto" w:fill="FFFFFF"/>
          </w:tcPr>
          <w:p w:rsidR="006C71BC" w:rsidRPr="00D675E5" w:rsidRDefault="006C71BC" w:rsidP="006C71BC">
            <w:pPr>
              <w:autoSpaceDE w:val="0"/>
              <w:autoSpaceDN w:val="0"/>
              <w:adjustRightInd w:val="0"/>
              <w:spacing w:line="320" w:lineRule="atLeast"/>
              <w:jc w:val="center"/>
              <w:rPr>
                <w:rFonts w:ascii="Arial" w:hAnsi="Arial" w:cs="Arial"/>
                <w:sz w:val="20"/>
                <w:szCs w:val="20"/>
              </w:rPr>
            </w:pPr>
            <w:r w:rsidRPr="00D675E5">
              <w:rPr>
                <w:rFonts w:ascii="Arial" w:hAnsi="Arial" w:cs="Arial"/>
                <w:sz w:val="20"/>
                <w:szCs w:val="20"/>
              </w:rPr>
              <w:t>2009</w:t>
            </w:r>
          </w:p>
        </w:tc>
      </w:tr>
      <w:tr w:rsidR="006C71BC" w:rsidRPr="001D6B08" w:rsidTr="006C71BC">
        <w:trPr>
          <w:cantSplit/>
          <w:tblHeader/>
          <w:jc w:val="center"/>
        </w:trPr>
        <w:tc>
          <w:tcPr>
            <w:tcW w:w="4062" w:type="dxa"/>
            <w:tcBorders>
              <w:top w:val="single" w:sz="18" w:space="0" w:color="000000"/>
              <w:left w:val="single" w:sz="18" w:space="0" w:color="000000"/>
              <w:bottom w:val="nil"/>
              <w:right w:val="single" w:sz="18" w:space="0" w:color="000000"/>
            </w:tcBorders>
            <w:shd w:val="clear" w:color="auto" w:fill="FFFFFF"/>
          </w:tcPr>
          <w:p w:rsidR="006C71BC" w:rsidRPr="00D675E5" w:rsidRDefault="006C71BC" w:rsidP="006C71BC">
            <w:pPr>
              <w:autoSpaceDE w:val="0"/>
              <w:autoSpaceDN w:val="0"/>
              <w:adjustRightInd w:val="0"/>
              <w:spacing w:line="320" w:lineRule="atLeast"/>
              <w:rPr>
                <w:rFonts w:ascii="Arial" w:hAnsi="Arial" w:cs="Arial"/>
                <w:sz w:val="20"/>
                <w:szCs w:val="20"/>
              </w:rPr>
            </w:pPr>
            <w:r w:rsidRPr="00D675E5">
              <w:rPr>
                <w:rFonts w:ascii="Arial" w:hAnsi="Arial" w:cs="Arial"/>
                <w:sz w:val="20"/>
                <w:szCs w:val="20"/>
              </w:rPr>
              <w:t>Activo Total (mil €)</w:t>
            </w:r>
          </w:p>
        </w:tc>
        <w:tc>
          <w:tcPr>
            <w:tcW w:w="950" w:type="dxa"/>
            <w:tcBorders>
              <w:top w:val="single" w:sz="18" w:space="0" w:color="000000"/>
              <w:left w:val="single" w:sz="8" w:space="0" w:color="000000"/>
              <w:bottom w:val="nil"/>
              <w:right w:val="single" w:sz="8" w:space="0" w:color="000000"/>
            </w:tcBorders>
            <w:shd w:val="clear" w:color="auto" w:fill="FFFFFF"/>
          </w:tcPr>
          <w:p w:rsidR="006C71BC" w:rsidRPr="00D675E5" w:rsidRDefault="006C71BC" w:rsidP="006C71BC">
            <w:pPr>
              <w:autoSpaceDE w:val="0"/>
              <w:autoSpaceDN w:val="0"/>
              <w:adjustRightInd w:val="0"/>
              <w:spacing w:line="320" w:lineRule="atLeast"/>
              <w:jc w:val="right"/>
              <w:rPr>
                <w:rFonts w:ascii="Arial" w:hAnsi="Arial" w:cs="Arial"/>
                <w:sz w:val="20"/>
                <w:szCs w:val="20"/>
              </w:rPr>
            </w:pPr>
            <w:r w:rsidRPr="00D675E5">
              <w:rPr>
                <w:rFonts w:ascii="Arial" w:hAnsi="Arial" w:cs="Arial"/>
                <w:sz w:val="20"/>
                <w:szCs w:val="20"/>
              </w:rPr>
              <w:t>1.722,00</w:t>
            </w:r>
          </w:p>
        </w:tc>
        <w:tc>
          <w:tcPr>
            <w:tcW w:w="1173" w:type="dxa"/>
            <w:tcBorders>
              <w:top w:val="single" w:sz="18" w:space="0" w:color="000000"/>
              <w:left w:val="single" w:sz="8" w:space="0" w:color="000000"/>
              <w:bottom w:val="nil"/>
              <w:right w:val="single" w:sz="1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1.948,0000</w:t>
            </w:r>
          </w:p>
        </w:tc>
      </w:tr>
      <w:tr w:rsidR="006C71BC" w:rsidRPr="001D6B08" w:rsidTr="006C71BC">
        <w:trPr>
          <w:cantSplit/>
          <w:tblHeader/>
          <w:jc w:val="center"/>
        </w:trPr>
        <w:tc>
          <w:tcPr>
            <w:tcW w:w="4062" w:type="dxa"/>
            <w:tcBorders>
              <w:top w:val="nil"/>
              <w:left w:val="single" w:sz="18" w:space="0" w:color="000000"/>
              <w:bottom w:val="nil"/>
              <w:right w:val="single" w:sz="18" w:space="0" w:color="000000"/>
            </w:tcBorders>
            <w:shd w:val="clear" w:color="auto" w:fill="FFFFFF"/>
          </w:tcPr>
          <w:p w:rsidR="006C71BC" w:rsidRPr="00D675E5" w:rsidRDefault="006C71BC" w:rsidP="006C71BC">
            <w:pPr>
              <w:autoSpaceDE w:val="0"/>
              <w:autoSpaceDN w:val="0"/>
              <w:adjustRightInd w:val="0"/>
              <w:spacing w:line="320" w:lineRule="atLeast"/>
              <w:rPr>
                <w:rFonts w:ascii="Arial" w:hAnsi="Arial" w:cs="Arial"/>
                <w:sz w:val="20"/>
                <w:szCs w:val="20"/>
              </w:rPr>
            </w:pPr>
            <w:r w:rsidRPr="00D675E5">
              <w:rPr>
                <w:rFonts w:ascii="Arial" w:hAnsi="Arial" w:cs="Arial"/>
                <w:sz w:val="20"/>
                <w:szCs w:val="20"/>
              </w:rPr>
              <w:t>Cifra de ventas (mil €)</w:t>
            </w:r>
          </w:p>
        </w:tc>
        <w:tc>
          <w:tcPr>
            <w:tcW w:w="950" w:type="dxa"/>
            <w:tcBorders>
              <w:top w:val="nil"/>
              <w:left w:val="single" w:sz="8" w:space="0" w:color="000000"/>
              <w:bottom w:val="nil"/>
              <w:right w:val="single" w:sz="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sz w:val="20"/>
                <w:szCs w:val="20"/>
              </w:rPr>
            </w:pPr>
            <w:r w:rsidRPr="00D675E5">
              <w:rPr>
                <w:rFonts w:ascii="Arial" w:hAnsi="Arial" w:cs="Arial"/>
                <w:sz w:val="20"/>
                <w:szCs w:val="20"/>
              </w:rPr>
              <w:t>2.495,50</w:t>
            </w:r>
          </w:p>
        </w:tc>
        <w:tc>
          <w:tcPr>
            <w:tcW w:w="1173" w:type="dxa"/>
            <w:tcBorders>
              <w:top w:val="nil"/>
              <w:left w:val="single" w:sz="8" w:space="0" w:color="000000"/>
              <w:bottom w:val="nil"/>
              <w:right w:val="single" w:sz="1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2.322,0000</w:t>
            </w:r>
          </w:p>
        </w:tc>
      </w:tr>
      <w:tr w:rsidR="006C71BC" w:rsidRPr="001D6B08" w:rsidTr="006C71BC">
        <w:trPr>
          <w:cantSplit/>
          <w:tblHeader/>
          <w:jc w:val="center"/>
        </w:trPr>
        <w:tc>
          <w:tcPr>
            <w:tcW w:w="4062" w:type="dxa"/>
            <w:tcBorders>
              <w:top w:val="nil"/>
              <w:left w:val="single" w:sz="18" w:space="0" w:color="000000"/>
              <w:bottom w:val="nil"/>
              <w:right w:val="single" w:sz="18" w:space="0" w:color="000000"/>
            </w:tcBorders>
            <w:shd w:val="clear" w:color="auto" w:fill="FFFFFF"/>
          </w:tcPr>
          <w:p w:rsidR="006C71BC" w:rsidRPr="00D675E5" w:rsidRDefault="006C71BC" w:rsidP="006C71BC">
            <w:pPr>
              <w:autoSpaceDE w:val="0"/>
              <w:autoSpaceDN w:val="0"/>
              <w:adjustRightInd w:val="0"/>
              <w:spacing w:line="320" w:lineRule="atLeast"/>
              <w:rPr>
                <w:rFonts w:ascii="Arial" w:hAnsi="Arial" w:cs="Arial"/>
                <w:sz w:val="20"/>
                <w:szCs w:val="20"/>
              </w:rPr>
            </w:pPr>
            <w:r w:rsidRPr="00D675E5">
              <w:rPr>
                <w:rFonts w:ascii="Arial" w:hAnsi="Arial" w:cs="Arial"/>
                <w:sz w:val="20"/>
                <w:szCs w:val="20"/>
              </w:rPr>
              <w:t>Número empleados</w:t>
            </w:r>
          </w:p>
        </w:tc>
        <w:tc>
          <w:tcPr>
            <w:tcW w:w="950" w:type="dxa"/>
            <w:tcBorders>
              <w:top w:val="nil"/>
              <w:left w:val="single" w:sz="8" w:space="0" w:color="000000"/>
              <w:bottom w:val="nil"/>
              <w:right w:val="single" w:sz="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6,0000</w:t>
            </w:r>
          </w:p>
        </w:tc>
        <w:tc>
          <w:tcPr>
            <w:tcW w:w="1173" w:type="dxa"/>
            <w:tcBorders>
              <w:top w:val="nil"/>
              <w:left w:val="single" w:sz="8" w:space="0" w:color="000000"/>
              <w:bottom w:val="nil"/>
              <w:right w:val="single" w:sz="1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6,5000</w:t>
            </w:r>
          </w:p>
        </w:tc>
      </w:tr>
      <w:tr w:rsidR="006C71BC" w:rsidRPr="001D6B08" w:rsidTr="006C71BC">
        <w:trPr>
          <w:cantSplit/>
          <w:tblHeader/>
          <w:jc w:val="center"/>
        </w:trPr>
        <w:tc>
          <w:tcPr>
            <w:tcW w:w="4062" w:type="dxa"/>
            <w:tcBorders>
              <w:top w:val="nil"/>
              <w:left w:val="single" w:sz="18" w:space="0" w:color="000000"/>
              <w:bottom w:val="nil"/>
              <w:right w:val="single" w:sz="18" w:space="0" w:color="000000"/>
            </w:tcBorders>
            <w:shd w:val="clear" w:color="auto" w:fill="FFFFFF"/>
          </w:tcPr>
          <w:p w:rsidR="006C71BC" w:rsidRPr="00D675E5" w:rsidRDefault="006C71BC" w:rsidP="006C71BC">
            <w:pPr>
              <w:autoSpaceDE w:val="0"/>
              <w:autoSpaceDN w:val="0"/>
              <w:adjustRightInd w:val="0"/>
              <w:spacing w:line="320" w:lineRule="atLeast"/>
              <w:rPr>
                <w:rFonts w:ascii="Arial" w:hAnsi="Arial" w:cs="Arial"/>
                <w:sz w:val="20"/>
                <w:szCs w:val="20"/>
              </w:rPr>
            </w:pPr>
            <w:r w:rsidRPr="00D675E5">
              <w:rPr>
                <w:rFonts w:ascii="Arial" w:hAnsi="Arial" w:cs="Arial"/>
                <w:sz w:val="20"/>
                <w:szCs w:val="20"/>
              </w:rPr>
              <w:t>Variación Ventas (2008-09)</w:t>
            </w:r>
          </w:p>
        </w:tc>
        <w:tc>
          <w:tcPr>
            <w:tcW w:w="950" w:type="dxa"/>
            <w:tcBorders>
              <w:top w:val="nil"/>
              <w:left w:val="single" w:sz="8" w:space="0" w:color="000000"/>
              <w:bottom w:val="nil"/>
              <w:right w:val="single" w:sz="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1,0471</w:t>
            </w:r>
          </w:p>
        </w:tc>
        <w:tc>
          <w:tcPr>
            <w:tcW w:w="1173" w:type="dxa"/>
            <w:tcBorders>
              <w:top w:val="nil"/>
              <w:left w:val="single" w:sz="8" w:space="0" w:color="000000"/>
              <w:bottom w:val="nil"/>
              <w:right w:val="single" w:sz="1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,8763</w:t>
            </w:r>
          </w:p>
        </w:tc>
      </w:tr>
      <w:tr w:rsidR="006C71BC" w:rsidRPr="001D6B08" w:rsidTr="006C71BC">
        <w:trPr>
          <w:cantSplit/>
          <w:tblHeader/>
          <w:jc w:val="center"/>
        </w:trPr>
        <w:tc>
          <w:tcPr>
            <w:tcW w:w="4062" w:type="dxa"/>
            <w:tcBorders>
              <w:top w:val="nil"/>
              <w:left w:val="single" w:sz="18" w:space="0" w:color="000000"/>
              <w:bottom w:val="nil"/>
              <w:right w:val="single" w:sz="18" w:space="0" w:color="000000"/>
            </w:tcBorders>
            <w:shd w:val="clear" w:color="auto" w:fill="FFFFFF"/>
          </w:tcPr>
          <w:p w:rsidR="006C71BC" w:rsidRPr="00D675E5" w:rsidRDefault="006C71BC" w:rsidP="006C71BC">
            <w:pPr>
              <w:autoSpaceDE w:val="0"/>
              <w:autoSpaceDN w:val="0"/>
              <w:adjustRightInd w:val="0"/>
              <w:spacing w:line="320" w:lineRule="atLeast"/>
              <w:rPr>
                <w:rFonts w:ascii="Arial" w:hAnsi="Arial" w:cs="Arial"/>
                <w:sz w:val="20"/>
                <w:szCs w:val="20"/>
              </w:rPr>
            </w:pPr>
            <w:r w:rsidRPr="00D675E5">
              <w:rPr>
                <w:rFonts w:ascii="Arial" w:hAnsi="Arial" w:cs="Arial"/>
                <w:sz w:val="20"/>
                <w:szCs w:val="20"/>
              </w:rPr>
              <w:t>Endeudamiento (%)</w:t>
            </w:r>
          </w:p>
        </w:tc>
        <w:tc>
          <w:tcPr>
            <w:tcW w:w="950" w:type="dxa"/>
            <w:tcBorders>
              <w:top w:val="nil"/>
              <w:left w:val="single" w:sz="8" w:space="0" w:color="000000"/>
              <w:bottom w:val="nil"/>
              <w:right w:val="single" w:sz="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72,1500</w:t>
            </w:r>
          </w:p>
        </w:tc>
        <w:tc>
          <w:tcPr>
            <w:tcW w:w="1173" w:type="dxa"/>
            <w:tcBorders>
              <w:top w:val="nil"/>
              <w:left w:val="single" w:sz="8" w:space="0" w:color="000000"/>
              <w:bottom w:val="nil"/>
              <w:right w:val="single" w:sz="1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37,48</w:t>
            </w:r>
          </w:p>
        </w:tc>
      </w:tr>
      <w:tr w:rsidR="006C71BC" w:rsidRPr="001D6B08" w:rsidTr="006C71BC">
        <w:trPr>
          <w:cantSplit/>
          <w:tblHeader/>
          <w:jc w:val="center"/>
        </w:trPr>
        <w:tc>
          <w:tcPr>
            <w:tcW w:w="4062" w:type="dxa"/>
            <w:tcBorders>
              <w:top w:val="nil"/>
              <w:left w:val="single" w:sz="18" w:space="0" w:color="000000"/>
              <w:bottom w:val="nil"/>
              <w:right w:val="single" w:sz="18" w:space="0" w:color="000000"/>
            </w:tcBorders>
            <w:shd w:val="clear" w:color="auto" w:fill="FFFFFF"/>
          </w:tcPr>
          <w:p w:rsidR="006C71BC" w:rsidRPr="00D675E5" w:rsidRDefault="006C71BC" w:rsidP="006C71BC">
            <w:pPr>
              <w:autoSpaceDE w:val="0"/>
              <w:autoSpaceDN w:val="0"/>
              <w:adjustRightInd w:val="0"/>
              <w:spacing w:line="320" w:lineRule="atLeast"/>
              <w:rPr>
                <w:rFonts w:ascii="Arial" w:hAnsi="Arial" w:cs="Arial"/>
                <w:sz w:val="20"/>
                <w:szCs w:val="20"/>
              </w:rPr>
            </w:pPr>
            <w:r w:rsidRPr="00D675E5">
              <w:rPr>
                <w:rFonts w:ascii="Arial" w:hAnsi="Arial" w:cs="Arial"/>
                <w:sz w:val="20"/>
                <w:szCs w:val="20"/>
              </w:rPr>
              <w:t>Liquidez (Activo Corriente/Pasivo Corriente)</w:t>
            </w:r>
          </w:p>
        </w:tc>
        <w:tc>
          <w:tcPr>
            <w:tcW w:w="950" w:type="dxa"/>
            <w:tcBorders>
              <w:top w:val="nil"/>
              <w:left w:val="single" w:sz="8" w:space="0" w:color="000000"/>
              <w:bottom w:val="nil"/>
              <w:right w:val="single" w:sz="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1,0300</w:t>
            </w:r>
          </w:p>
        </w:tc>
        <w:tc>
          <w:tcPr>
            <w:tcW w:w="1173" w:type="dxa"/>
            <w:tcBorders>
              <w:top w:val="nil"/>
              <w:left w:val="single" w:sz="8" w:space="0" w:color="000000"/>
              <w:bottom w:val="nil"/>
              <w:right w:val="single" w:sz="1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1,2498</w:t>
            </w:r>
          </w:p>
        </w:tc>
      </w:tr>
      <w:tr w:rsidR="006C71BC" w:rsidRPr="001D6B08" w:rsidTr="006C71BC">
        <w:trPr>
          <w:cantSplit/>
          <w:tblHeader/>
          <w:jc w:val="center"/>
        </w:trPr>
        <w:tc>
          <w:tcPr>
            <w:tcW w:w="4062" w:type="dxa"/>
            <w:tcBorders>
              <w:top w:val="nil"/>
              <w:left w:val="single" w:sz="18" w:space="0" w:color="000000"/>
              <w:bottom w:val="nil"/>
              <w:right w:val="single" w:sz="18" w:space="0" w:color="000000"/>
            </w:tcBorders>
            <w:shd w:val="clear" w:color="auto" w:fill="FFFFFF"/>
          </w:tcPr>
          <w:p w:rsidR="006C71BC" w:rsidRPr="00D675E5" w:rsidRDefault="006C71BC" w:rsidP="006C71BC">
            <w:pPr>
              <w:autoSpaceDE w:val="0"/>
              <w:autoSpaceDN w:val="0"/>
              <w:adjustRightInd w:val="0"/>
              <w:spacing w:line="320" w:lineRule="atLeast"/>
              <w:rPr>
                <w:rFonts w:ascii="Arial" w:hAnsi="Arial" w:cs="Arial"/>
                <w:sz w:val="20"/>
                <w:szCs w:val="20"/>
              </w:rPr>
            </w:pPr>
            <w:r w:rsidRPr="00D675E5">
              <w:rPr>
                <w:rFonts w:ascii="Arial" w:hAnsi="Arial" w:cs="Arial"/>
                <w:sz w:val="20"/>
                <w:szCs w:val="20"/>
              </w:rPr>
              <w:t>Ratio Capitalización</w:t>
            </w:r>
          </w:p>
        </w:tc>
        <w:tc>
          <w:tcPr>
            <w:tcW w:w="950" w:type="dxa"/>
            <w:tcBorders>
              <w:top w:val="nil"/>
              <w:left w:val="single" w:sz="8" w:space="0" w:color="000000"/>
              <w:bottom w:val="nil"/>
              <w:right w:val="single" w:sz="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,2750</w:t>
            </w:r>
          </w:p>
        </w:tc>
        <w:tc>
          <w:tcPr>
            <w:tcW w:w="1173" w:type="dxa"/>
            <w:tcBorders>
              <w:top w:val="nil"/>
              <w:left w:val="single" w:sz="8" w:space="0" w:color="000000"/>
              <w:bottom w:val="nil"/>
              <w:right w:val="single" w:sz="1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,3175</w:t>
            </w:r>
          </w:p>
        </w:tc>
      </w:tr>
      <w:tr w:rsidR="006C71BC" w:rsidRPr="001D6B08" w:rsidTr="006C71BC">
        <w:trPr>
          <w:cantSplit/>
          <w:tblHeader/>
          <w:jc w:val="center"/>
        </w:trPr>
        <w:tc>
          <w:tcPr>
            <w:tcW w:w="4062" w:type="dxa"/>
            <w:tcBorders>
              <w:top w:val="nil"/>
              <w:left w:val="single" w:sz="18" w:space="0" w:color="000000"/>
              <w:bottom w:val="nil"/>
              <w:right w:val="single" w:sz="18" w:space="0" w:color="000000"/>
            </w:tcBorders>
            <w:shd w:val="clear" w:color="auto" w:fill="FFFFFF"/>
          </w:tcPr>
          <w:p w:rsidR="006C71BC" w:rsidRPr="00D675E5" w:rsidRDefault="006C71BC" w:rsidP="006C71BC">
            <w:pPr>
              <w:autoSpaceDE w:val="0"/>
              <w:autoSpaceDN w:val="0"/>
              <w:adjustRightInd w:val="0"/>
              <w:spacing w:line="320" w:lineRule="atLeast"/>
              <w:rPr>
                <w:rFonts w:ascii="Arial" w:hAnsi="Arial" w:cs="Arial"/>
                <w:sz w:val="20"/>
                <w:szCs w:val="20"/>
              </w:rPr>
            </w:pPr>
            <w:r w:rsidRPr="00D675E5">
              <w:rPr>
                <w:rFonts w:ascii="Arial" w:hAnsi="Arial" w:cs="Arial"/>
                <w:sz w:val="20"/>
                <w:szCs w:val="20"/>
              </w:rPr>
              <w:t xml:space="preserve">Amortización/Gastos </w:t>
            </w:r>
          </w:p>
        </w:tc>
        <w:tc>
          <w:tcPr>
            <w:tcW w:w="950" w:type="dxa"/>
            <w:tcBorders>
              <w:top w:val="nil"/>
              <w:left w:val="single" w:sz="8" w:space="0" w:color="000000"/>
              <w:bottom w:val="nil"/>
              <w:right w:val="single" w:sz="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sz w:val="20"/>
                <w:szCs w:val="20"/>
              </w:rPr>
            </w:pPr>
            <w:r w:rsidRPr="00D675E5">
              <w:rPr>
                <w:rFonts w:ascii="Arial" w:hAnsi="Arial" w:cs="Arial"/>
                <w:sz w:val="20"/>
                <w:szCs w:val="20"/>
              </w:rPr>
              <w:t>,0300</w:t>
            </w:r>
          </w:p>
        </w:tc>
        <w:tc>
          <w:tcPr>
            <w:tcW w:w="1173" w:type="dxa"/>
            <w:tcBorders>
              <w:top w:val="nil"/>
              <w:left w:val="single" w:sz="8" w:space="0" w:color="000000"/>
              <w:bottom w:val="nil"/>
              <w:right w:val="single" w:sz="1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,0280</w:t>
            </w:r>
          </w:p>
        </w:tc>
      </w:tr>
      <w:tr w:rsidR="006C71BC" w:rsidRPr="001D6B08" w:rsidTr="00835B00">
        <w:trPr>
          <w:cantSplit/>
          <w:tblHeader/>
          <w:jc w:val="center"/>
        </w:trPr>
        <w:tc>
          <w:tcPr>
            <w:tcW w:w="4062" w:type="dxa"/>
            <w:tcBorders>
              <w:top w:val="nil"/>
              <w:left w:val="single" w:sz="18" w:space="0" w:color="000000"/>
              <w:bottom w:val="nil"/>
              <w:right w:val="single" w:sz="18" w:space="0" w:color="000000"/>
            </w:tcBorders>
            <w:shd w:val="clear" w:color="auto" w:fill="FFFFFF"/>
          </w:tcPr>
          <w:p w:rsidR="006C71BC" w:rsidRPr="00D675E5" w:rsidRDefault="006C71BC" w:rsidP="006C71BC">
            <w:pPr>
              <w:autoSpaceDE w:val="0"/>
              <w:autoSpaceDN w:val="0"/>
              <w:adjustRightInd w:val="0"/>
              <w:spacing w:line="320" w:lineRule="atLeast"/>
              <w:rPr>
                <w:rFonts w:ascii="Arial" w:hAnsi="Arial" w:cs="Arial"/>
                <w:sz w:val="20"/>
                <w:szCs w:val="20"/>
              </w:rPr>
            </w:pPr>
            <w:r w:rsidRPr="00D675E5">
              <w:rPr>
                <w:rFonts w:ascii="Arial" w:hAnsi="Arial" w:cs="Arial"/>
                <w:sz w:val="20"/>
                <w:szCs w:val="20"/>
              </w:rPr>
              <w:t>Activo Corriente/ Activo Total</w:t>
            </w:r>
          </w:p>
        </w:tc>
        <w:tc>
          <w:tcPr>
            <w:tcW w:w="950" w:type="dxa"/>
            <w:tcBorders>
              <w:top w:val="nil"/>
              <w:left w:val="single" w:sz="8" w:space="0" w:color="000000"/>
              <w:bottom w:val="nil"/>
              <w:right w:val="single" w:sz="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,5425</w:t>
            </w:r>
          </w:p>
        </w:tc>
        <w:tc>
          <w:tcPr>
            <w:tcW w:w="1173" w:type="dxa"/>
            <w:tcBorders>
              <w:top w:val="nil"/>
              <w:left w:val="single" w:sz="8" w:space="0" w:color="000000"/>
              <w:bottom w:val="nil"/>
              <w:right w:val="single" w:sz="1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,5251</w:t>
            </w:r>
          </w:p>
        </w:tc>
      </w:tr>
      <w:tr w:rsidR="006C71BC" w:rsidRPr="001D6B08" w:rsidTr="00835B00">
        <w:trPr>
          <w:cantSplit/>
          <w:tblHeader/>
          <w:jc w:val="center"/>
        </w:trPr>
        <w:tc>
          <w:tcPr>
            <w:tcW w:w="4062" w:type="dxa"/>
            <w:tcBorders>
              <w:top w:val="nil"/>
              <w:left w:val="single" w:sz="18" w:space="0" w:color="000000"/>
              <w:bottom w:val="single" w:sz="18" w:space="0" w:color="000000"/>
              <w:right w:val="single" w:sz="18" w:space="0" w:color="000000"/>
            </w:tcBorders>
            <w:shd w:val="clear" w:color="auto" w:fill="FFFFFF"/>
          </w:tcPr>
          <w:p w:rsidR="006C71BC" w:rsidRPr="00D675E5" w:rsidRDefault="006C71BC" w:rsidP="006C71BC">
            <w:pPr>
              <w:autoSpaceDE w:val="0"/>
              <w:autoSpaceDN w:val="0"/>
              <w:adjustRightInd w:val="0"/>
              <w:spacing w:line="320" w:lineRule="atLeast"/>
              <w:rPr>
                <w:rFonts w:ascii="Arial" w:hAnsi="Arial" w:cs="Arial"/>
                <w:sz w:val="20"/>
                <w:szCs w:val="20"/>
              </w:rPr>
            </w:pPr>
            <w:r w:rsidRPr="00D675E5">
              <w:rPr>
                <w:rFonts w:ascii="Arial" w:hAnsi="Arial" w:cs="Arial"/>
                <w:sz w:val="20"/>
                <w:szCs w:val="20"/>
              </w:rPr>
              <w:t>Rotación Activo Total</w:t>
            </w:r>
          </w:p>
        </w:tc>
        <w:tc>
          <w:tcPr>
            <w:tcW w:w="950" w:type="dxa"/>
            <w:tcBorders>
              <w:top w:val="nil"/>
              <w:left w:val="single" w:sz="18" w:space="0" w:color="000000"/>
              <w:bottom w:val="single" w:sz="18" w:space="0" w:color="000000"/>
              <w:right w:val="single" w:sz="2"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1,1200</w:t>
            </w:r>
          </w:p>
        </w:tc>
        <w:tc>
          <w:tcPr>
            <w:tcW w:w="1173" w:type="dxa"/>
            <w:tcBorders>
              <w:top w:val="nil"/>
              <w:left w:val="single" w:sz="2" w:space="0" w:color="000000"/>
              <w:bottom w:val="single" w:sz="18" w:space="0" w:color="000000"/>
              <w:right w:val="single" w:sz="18" w:space="0" w:color="000000"/>
            </w:tcBorders>
            <w:shd w:val="clear" w:color="auto" w:fill="FFFFFF"/>
            <w:vAlign w:val="center"/>
          </w:tcPr>
          <w:p w:rsidR="006C71BC" w:rsidRPr="00D675E5" w:rsidRDefault="006C71BC" w:rsidP="006C71BC">
            <w:pPr>
              <w:autoSpaceDE w:val="0"/>
              <w:autoSpaceDN w:val="0"/>
              <w:adjustRightInd w:val="0"/>
              <w:spacing w:line="320" w:lineRule="atLeast"/>
              <w:jc w:val="right"/>
              <w:rPr>
                <w:rFonts w:ascii="Arial" w:hAnsi="Arial" w:cs="Arial"/>
                <w:color w:val="000000"/>
                <w:sz w:val="20"/>
                <w:szCs w:val="20"/>
              </w:rPr>
            </w:pPr>
            <w:r w:rsidRPr="00D675E5">
              <w:rPr>
                <w:rFonts w:ascii="Arial" w:hAnsi="Arial" w:cs="Arial"/>
                <w:color w:val="000000"/>
                <w:sz w:val="20"/>
                <w:szCs w:val="20"/>
              </w:rPr>
              <w:t>1,1928</w:t>
            </w:r>
          </w:p>
        </w:tc>
      </w:tr>
    </w:tbl>
    <w:p w:rsidR="006C14F6" w:rsidRDefault="006C14F6" w:rsidP="006C71BC">
      <w:pPr>
        <w:ind w:left="1134"/>
        <w:rPr>
          <w:rFonts w:ascii="Arial" w:hAnsi="Arial" w:cs="Arial"/>
          <w:sz w:val="18"/>
          <w:szCs w:val="18"/>
        </w:rPr>
      </w:pPr>
      <w:r>
        <w:rPr>
          <w:rFonts w:ascii="Arial" w:hAnsi="Arial" w:cs="Arial"/>
          <w:sz w:val="18"/>
          <w:szCs w:val="18"/>
        </w:rPr>
        <w:t>FUENTE: Elaboración propia.</w:t>
      </w:r>
    </w:p>
    <w:p w:rsidR="000A5B26" w:rsidRDefault="000A5B26" w:rsidP="006C71BC">
      <w:pPr>
        <w:ind w:left="1134"/>
        <w:rPr>
          <w:rFonts w:ascii="Arial" w:hAnsi="Arial" w:cs="Arial"/>
          <w:sz w:val="18"/>
          <w:szCs w:val="18"/>
        </w:rPr>
      </w:pPr>
    </w:p>
    <w:p w:rsidR="000A5B26" w:rsidRPr="00D675E5" w:rsidRDefault="000A5B26" w:rsidP="000A5B26">
      <w:pPr>
        <w:pStyle w:val="Textonotapie"/>
        <w:ind w:left="0" w:firstLine="567"/>
        <w:jc w:val="both"/>
        <w:rPr>
          <w:rFonts w:ascii="Arial" w:hAnsi="Arial"/>
          <w:sz w:val="20"/>
        </w:rPr>
      </w:pPr>
    </w:p>
    <w:p w:rsidR="000A5B26" w:rsidRDefault="000A5B26" w:rsidP="000A5B26">
      <w:pPr>
        <w:pStyle w:val="Textonotapie"/>
        <w:ind w:left="0" w:firstLine="567"/>
        <w:jc w:val="both"/>
        <w:rPr>
          <w:rFonts w:ascii="Arial" w:hAnsi="Arial"/>
          <w:sz w:val="20"/>
        </w:rPr>
      </w:pPr>
      <w:r w:rsidRPr="00D675E5">
        <w:rPr>
          <w:rFonts w:ascii="Arial" w:hAnsi="Arial"/>
          <w:sz w:val="20"/>
        </w:rPr>
        <w:t xml:space="preserve">No obstante, la reducción más importante es la que afecta al endeudamiento de las cooperativas, disminuyendo la mediana del ratio desde el 72,15% hasta el 37,48%, esta circunstancia puede parece estar fundamentada en las limitaciones en el acceso al crédito que se dieron en los primeros años de la crisis financiera y que coinciden con el periodo a estudio. </w:t>
      </w:r>
    </w:p>
    <w:p w:rsidR="000A5B26" w:rsidRPr="00D675E5" w:rsidRDefault="000A5B26" w:rsidP="000A5B26">
      <w:pPr>
        <w:pStyle w:val="Textonotapie"/>
        <w:ind w:left="0" w:firstLine="567"/>
        <w:jc w:val="both"/>
        <w:rPr>
          <w:rFonts w:ascii="Arial" w:hAnsi="Arial"/>
          <w:sz w:val="20"/>
        </w:rPr>
      </w:pPr>
    </w:p>
    <w:p w:rsidR="000A5B26" w:rsidRPr="00D675E5" w:rsidRDefault="000A5B26" w:rsidP="000A5B26">
      <w:pPr>
        <w:pStyle w:val="Textonotapie"/>
        <w:ind w:left="0" w:firstLine="567"/>
        <w:jc w:val="both"/>
        <w:rPr>
          <w:rFonts w:ascii="Arial" w:hAnsi="Arial"/>
          <w:sz w:val="20"/>
        </w:rPr>
      </w:pPr>
      <w:r w:rsidRPr="00D675E5">
        <w:rPr>
          <w:rFonts w:ascii="Arial" w:hAnsi="Arial"/>
          <w:sz w:val="20"/>
        </w:rPr>
        <w:t>Paralelamente se observa un aumento en la liquidez de las entidades, este hecho puede responder no sólo a un aumento del activo corriente sino también a una disminución del pasivo corriente, lo cual quedaría explicado también por la reducción del endeudamiento ya comentada.</w:t>
      </w:r>
    </w:p>
    <w:p w:rsidR="000A5B26" w:rsidRDefault="000A5B26" w:rsidP="006C71BC">
      <w:pPr>
        <w:ind w:left="1134"/>
        <w:rPr>
          <w:rFonts w:ascii="Arial" w:hAnsi="Arial" w:cs="Arial"/>
          <w:sz w:val="18"/>
          <w:szCs w:val="18"/>
        </w:rPr>
      </w:pPr>
    </w:p>
    <w:p w:rsidR="00337574" w:rsidRDefault="00337574" w:rsidP="00C3115F">
      <w:pPr>
        <w:rPr>
          <w:rFonts w:ascii="Arial" w:hAnsi="Arial" w:cs="Arial"/>
          <w:sz w:val="18"/>
          <w:szCs w:val="18"/>
        </w:rPr>
      </w:pPr>
    </w:p>
    <w:p w:rsidR="00337574" w:rsidRDefault="006C71BC" w:rsidP="00C3115F">
      <w:pPr>
        <w:pStyle w:val="Ttulo2"/>
        <w:numPr>
          <w:ilvl w:val="1"/>
          <w:numId w:val="2"/>
        </w:numPr>
        <w:spacing w:before="0" w:after="0"/>
        <w:ind w:left="993" w:hanging="426"/>
        <w:rPr>
          <w:rFonts w:ascii="Arial" w:hAnsi="Arial" w:cs="Arial"/>
          <w:sz w:val="20"/>
          <w:szCs w:val="20"/>
        </w:rPr>
      </w:pPr>
      <w:r>
        <w:rPr>
          <w:rFonts w:ascii="Arial" w:hAnsi="Arial" w:cs="Arial"/>
          <w:sz w:val="20"/>
          <w:szCs w:val="20"/>
        </w:rPr>
        <w:t>Prueba de medias en muestras relacionadas</w:t>
      </w:r>
    </w:p>
    <w:p w:rsidR="002E14E4" w:rsidRPr="002E14E4" w:rsidRDefault="002E14E4" w:rsidP="002E14E4">
      <w:pPr>
        <w:pStyle w:val="Textoindependiente"/>
        <w:spacing w:before="0" w:after="0"/>
      </w:pPr>
    </w:p>
    <w:p w:rsidR="006C71BC" w:rsidRDefault="006C71BC" w:rsidP="006C71BC">
      <w:pPr>
        <w:pStyle w:val="Prrafodelista"/>
        <w:spacing w:after="0" w:line="240" w:lineRule="auto"/>
        <w:ind w:left="0" w:firstLine="567"/>
        <w:contextualSpacing w:val="0"/>
        <w:jc w:val="both"/>
        <w:rPr>
          <w:rFonts w:ascii="Arial" w:eastAsia="Times New Roman" w:hAnsi="Arial" w:cs="Arial"/>
          <w:sz w:val="20"/>
          <w:szCs w:val="20"/>
          <w:lang w:val="es-ES" w:eastAsia="es-ES"/>
        </w:rPr>
      </w:pPr>
      <w:r w:rsidRPr="00D675E5">
        <w:rPr>
          <w:rFonts w:ascii="Arial" w:eastAsia="Times New Roman" w:hAnsi="Arial" w:cs="Arial"/>
          <w:sz w:val="20"/>
          <w:szCs w:val="20"/>
          <w:lang w:val="es-ES" w:eastAsia="es-ES"/>
        </w:rPr>
        <w:t xml:space="preserve">Las diferencias observadas en los valores de los indicadores en los dos momentos temporales seleccionados </w:t>
      </w:r>
      <w:r>
        <w:rPr>
          <w:rFonts w:ascii="Arial" w:eastAsia="Times New Roman" w:hAnsi="Arial" w:cs="Arial"/>
          <w:sz w:val="20"/>
          <w:szCs w:val="20"/>
          <w:lang w:val="es-ES" w:eastAsia="es-ES"/>
        </w:rPr>
        <w:t xml:space="preserve">(2006 y 2009) </w:t>
      </w:r>
      <w:r w:rsidRPr="00D675E5">
        <w:rPr>
          <w:rFonts w:ascii="Arial" w:eastAsia="Times New Roman" w:hAnsi="Arial" w:cs="Arial"/>
          <w:sz w:val="20"/>
          <w:szCs w:val="20"/>
          <w:lang w:val="es-ES" w:eastAsia="es-ES"/>
        </w:rPr>
        <w:t>se contrastan estadísticamente mediante un test T de medias en muestras relacionadas (Cuadro 4)</w:t>
      </w:r>
      <w:r>
        <w:rPr>
          <w:rFonts w:ascii="Arial" w:eastAsia="Times New Roman" w:hAnsi="Arial" w:cs="Arial"/>
          <w:sz w:val="20"/>
          <w:szCs w:val="20"/>
          <w:lang w:val="es-ES" w:eastAsia="es-ES"/>
        </w:rPr>
        <w:t xml:space="preserve"> aplicado sobre la muestra de 90 cooperativas agroalimentarias españolas para las cuales se cuenta con información económico-financiera de los ejercicios a estudio</w:t>
      </w:r>
      <w:r w:rsidRPr="00D675E5">
        <w:rPr>
          <w:rFonts w:ascii="Arial" w:eastAsia="Times New Roman" w:hAnsi="Arial" w:cs="Arial"/>
          <w:sz w:val="20"/>
          <w:szCs w:val="20"/>
          <w:lang w:val="es-ES" w:eastAsia="es-ES"/>
        </w:rPr>
        <w:t>.</w:t>
      </w:r>
      <w:r>
        <w:rPr>
          <w:rFonts w:ascii="Arial" w:eastAsia="Times New Roman" w:hAnsi="Arial" w:cs="Arial"/>
          <w:sz w:val="20"/>
          <w:szCs w:val="20"/>
          <w:lang w:val="es-ES" w:eastAsia="es-ES"/>
        </w:rPr>
        <w:t xml:space="preserve"> </w:t>
      </w:r>
    </w:p>
    <w:p w:rsidR="002E14E4" w:rsidRDefault="002E14E4" w:rsidP="006C71BC">
      <w:pPr>
        <w:pStyle w:val="Prrafodelista"/>
        <w:spacing w:after="0" w:line="240" w:lineRule="auto"/>
        <w:ind w:left="0" w:firstLine="567"/>
        <w:contextualSpacing w:val="0"/>
        <w:jc w:val="both"/>
        <w:rPr>
          <w:rFonts w:ascii="Arial" w:eastAsia="Times New Roman" w:hAnsi="Arial" w:cs="Arial"/>
          <w:sz w:val="20"/>
          <w:szCs w:val="20"/>
          <w:lang w:val="es-ES" w:eastAsia="es-ES"/>
        </w:rPr>
      </w:pPr>
    </w:p>
    <w:p w:rsidR="002E14E4" w:rsidRPr="006C71BC" w:rsidRDefault="002E14E4" w:rsidP="002E14E4">
      <w:pPr>
        <w:pStyle w:val="Prrafodelista"/>
        <w:spacing w:after="0" w:line="240" w:lineRule="auto"/>
        <w:ind w:left="0" w:firstLine="567"/>
        <w:contextualSpacing w:val="0"/>
        <w:jc w:val="both"/>
        <w:rPr>
          <w:rFonts w:ascii="Arial" w:eastAsia="Times New Roman" w:hAnsi="Arial" w:cs="Arial"/>
          <w:sz w:val="20"/>
          <w:szCs w:val="20"/>
          <w:lang w:val="es-ES" w:eastAsia="es-ES"/>
        </w:rPr>
      </w:pPr>
      <w:r w:rsidRPr="006C71BC">
        <w:rPr>
          <w:rFonts w:ascii="Arial" w:eastAsia="Times New Roman" w:hAnsi="Arial" w:cs="Arial"/>
          <w:sz w:val="20"/>
          <w:szCs w:val="20"/>
          <w:lang w:val="es-ES" w:eastAsia="es-ES"/>
        </w:rPr>
        <w:t>En consecuencia, en promedio, las cooperativas agroalimentarias muestran un endeudamiento menor en 2009 (M=40,11, SE=21,69) frente a los valores alcanzados en 2006 (M=65,47, SE=24,16).</w:t>
      </w:r>
    </w:p>
    <w:p w:rsidR="002E14E4" w:rsidRPr="006C71BC" w:rsidRDefault="002E14E4" w:rsidP="002E14E4">
      <w:pPr>
        <w:pStyle w:val="Prrafodelista"/>
        <w:spacing w:after="0" w:line="240" w:lineRule="auto"/>
        <w:ind w:left="0" w:firstLine="567"/>
        <w:contextualSpacing w:val="0"/>
        <w:jc w:val="both"/>
        <w:rPr>
          <w:rFonts w:ascii="Arial" w:eastAsia="Times New Roman" w:hAnsi="Arial" w:cs="Arial"/>
          <w:sz w:val="20"/>
          <w:szCs w:val="20"/>
          <w:lang w:val="es-ES" w:eastAsia="es-ES"/>
        </w:rPr>
      </w:pPr>
    </w:p>
    <w:p w:rsidR="002E14E4" w:rsidRPr="006C71BC" w:rsidRDefault="002E14E4" w:rsidP="002E14E4">
      <w:pPr>
        <w:pStyle w:val="Prrafodelista"/>
        <w:spacing w:after="0" w:line="240" w:lineRule="auto"/>
        <w:ind w:left="0" w:firstLine="567"/>
        <w:contextualSpacing w:val="0"/>
        <w:jc w:val="both"/>
        <w:rPr>
          <w:rFonts w:ascii="Arial" w:eastAsia="Times New Roman" w:hAnsi="Arial" w:cs="Arial"/>
          <w:sz w:val="20"/>
          <w:szCs w:val="20"/>
          <w:lang w:val="es-ES" w:eastAsia="es-ES"/>
        </w:rPr>
      </w:pPr>
      <w:r w:rsidRPr="006C71BC">
        <w:rPr>
          <w:rFonts w:ascii="Arial" w:eastAsia="Times New Roman" w:hAnsi="Arial" w:cs="Arial"/>
          <w:sz w:val="20"/>
          <w:szCs w:val="20"/>
          <w:lang w:val="es-ES" w:eastAsia="es-ES"/>
        </w:rPr>
        <w:t>La segunda diferencia significativa estadísticamente afecta a las dotaciones a amortizaciones con respecto al total de gastos en las cooperativas agroalimentarias españolas que también resultan menores en 2009 (M=0,0492, SE=0,06705) frente a los valores correspondientes a 2006 (M=0,0782, SE=0,15943).</w:t>
      </w:r>
    </w:p>
    <w:p w:rsidR="002E14E4" w:rsidRPr="006C71BC" w:rsidRDefault="002E14E4" w:rsidP="002E14E4">
      <w:pPr>
        <w:pStyle w:val="Textoindependiente"/>
        <w:ind w:firstLine="567"/>
        <w:rPr>
          <w:rFonts w:ascii="Arial" w:hAnsi="Arial" w:cs="Arial"/>
          <w:sz w:val="20"/>
          <w:szCs w:val="20"/>
          <w:lang w:val="es-ES_tradnl"/>
        </w:rPr>
      </w:pPr>
      <w:r w:rsidRPr="006C71BC">
        <w:rPr>
          <w:rFonts w:ascii="Arial" w:hAnsi="Arial" w:cs="Arial"/>
          <w:sz w:val="20"/>
          <w:szCs w:val="20"/>
          <w:lang w:val="es-ES_tradnl"/>
        </w:rPr>
        <w:t>El resto de variables estudiadas no presentan variaciones estadísticamente significativas en los valores obtenidos en los años 2006 y 2009.</w:t>
      </w:r>
    </w:p>
    <w:p w:rsidR="002E14E4" w:rsidRPr="00D675E5" w:rsidRDefault="002E14E4" w:rsidP="006C71BC">
      <w:pPr>
        <w:pStyle w:val="Prrafodelista"/>
        <w:spacing w:after="0" w:line="240" w:lineRule="auto"/>
        <w:ind w:left="0" w:firstLine="567"/>
        <w:contextualSpacing w:val="0"/>
        <w:jc w:val="both"/>
        <w:rPr>
          <w:rFonts w:ascii="Arial" w:eastAsia="Times New Roman" w:hAnsi="Arial" w:cs="Arial"/>
          <w:sz w:val="20"/>
          <w:szCs w:val="20"/>
          <w:lang w:val="es-ES" w:eastAsia="es-ES"/>
        </w:rPr>
      </w:pPr>
    </w:p>
    <w:p w:rsidR="002E14E4" w:rsidRDefault="002E14E4" w:rsidP="002E14E4">
      <w:pPr>
        <w:pStyle w:val="Textoindependiente"/>
        <w:numPr>
          <w:ilvl w:val="0"/>
          <w:numId w:val="2"/>
        </w:numPr>
        <w:spacing w:before="0" w:after="0"/>
        <w:ind w:left="284" w:hanging="284"/>
        <w:rPr>
          <w:rFonts w:ascii="Arial" w:hAnsi="Arial" w:cs="Arial"/>
          <w:b/>
          <w:sz w:val="20"/>
          <w:szCs w:val="20"/>
        </w:rPr>
      </w:pPr>
      <w:r w:rsidRPr="00A27D33">
        <w:rPr>
          <w:rFonts w:ascii="Arial" w:hAnsi="Arial" w:cs="Arial"/>
          <w:b/>
          <w:sz w:val="20"/>
          <w:szCs w:val="20"/>
        </w:rPr>
        <w:t>Análisis de regresión</w:t>
      </w:r>
    </w:p>
    <w:p w:rsidR="002E14E4" w:rsidRDefault="002E14E4" w:rsidP="002E14E4">
      <w:pPr>
        <w:pStyle w:val="Textoindependiente"/>
        <w:spacing w:before="0" w:after="0"/>
        <w:rPr>
          <w:rFonts w:ascii="Arial" w:hAnsi="Arial" w:cs="Arial"/>
          <w:b/>
          <w:sz w:val="20"/>
          <w:szCs w:val="20"/>
        </w:rPr>
      </w:pPr>
    </w:p>
    <w:p w:rsidR="002E14E4" w:rsidRDefault="002E14E4" w:rsidP="002E14E4">
      <w:pPr>
        <w:pStyle w:val="Textoindependiente"/>
        <w:spacing w:before="0" w:after="0"/>
        <w:ind w:firstLine="567"/>
        <w:rPr>
          <w:rFonts w:ascii="Arial" w:hAnsi="Arial" w:cs="Arial"/>
          <w:sz w:val="20"/>
          <w:szCs w:val="20"/>
        </w:rPr>
      </w:pPr>
      <w:r w:rsidRPr="007F23B0">
        <w:rPr>
          <w:rFonts w:ascii="Arial" w:hAnsi="Arial" w:cs="Arial"/>
          <w:sz w:val="20"/>
          <w:szCs w:val="20"/>
        </w:rPr>
        <w:t xml:space="preserve">Las diferencias </w:t>
      </w:r>
      <w:r>
        <w:rPr>
          <w:rFonts w:ascii="Arial" w:hAnsi="Arial" w:cs="Arial"/>
          <w:sz w:val="20"/>
          <w:szCs w:val="20"/>
        </w:rPr>
        <w:t>estadísticas observadas en las pruebas T entre las dos muestras analizadas parecen evidenciar distintos comportamientos en lo que respecta a la estrategia de financiación de las cooperativas agroalimentarias en España en función del horizonte temporal, de modo que las dificultades macroeconómicas y las restricciones de financiación derivadas del entorno de crisis económico parecen haber reducido los niveles de endeudamiento de estas entidades.</w:t>
      </w:r>
    </w:p>
    <w:p w:rsidR="002E14E4" w:rsidRDefault="002E14E4" w:rsidP="002E14E4">
      <w:pPr>
        <w:pStyle w:val="Textoindependiente"/>
        <w:spacing w:before="0" w:after="0"/>
        <w:ind w:firstLine="567"/>
        <w:rPr>
          <w:rFonts w:ascii="Arial" w:hAnsi="Arial" w:cs="Arial"/>
          <w:sz w:val="20"/>
          <w:szCs w:val="20"/>
        </w:rPr>
      </w:pPr>
    </w:p>
    <w:p w:rsidR="002E14E4" w:rsidRDefault="002E14E4" w:rsidP="002E14E4">
      <w:pPr>
        <w:pStyle w:val="Textoindependiente"/>
        <w:spacing w:before="0" w:after="0"/>
        <w:ind w:firstLine="567"/>
        <w:rPr>
          <w:rFonts w:ascii="Arial" w:hAnsi="Arial" w:cs="Arial"/>
          <w:sz w:val="20"/>
          <w:szCs w:val="20"/>
        </w:rPr>
      </w:pPr>
      <w:r>
        <w:rPr>
          <w:rFonts w:ascii="Arial" w:hAnsi="Arial" w:cs="Arial"/>
          <w:sz w:val="20"/>
          <w:szCs w:val="20"/>
        </w:rPr>
        <w:t>Para completar estas primeras conclusiones se ha procedido a analizar empíricamente qué factores afectan o condicionan, en este contexto de crisis, a la estructura financiera de la muestra de entidades seleccionada para el año 2009, es decir, en plenas turbulencias económicas y financieras.</w:t>
      </w:r>
    </w:p>
    <w:p w:rsidR="002E14E4" w:rsidRDefault="002E14E4" w:rsidP="002E14E4">
      <w:pPr>
        <w:pStyle w:val="Textoindependiente"/>
        <w:spacing w:before="0" w:after="0"/>
        <w:ind w:firstLine="567"/>
        <w:rPr>
          <w:rFonts w:ascii="Arial" w:hAnsi="Arial" w:cs="Arial"/>
          <w:sz w:val="20"/>
          <w:szCs w:val="20"/>
        </w:rPr>
      </w:pPr>
    </w:p>
    <w:p w:rsidR="00943808" w:rsidRDefault="009C5C44">
      <w:pPr>
        <w:pStyle w:val="Ttulo2"/>
        <w:numPr>
          <w:ilvl w:val="1"/>
          <w:numId w:val="2"/>
        </w:numPr>
        <w:spacing w:before="0" w:after="0"/>
        <w:ind w:left="993" w:hanging="426"/>
        <w:rPr>
          <w:rFonts w:ascii="Arial" w:hAnsi="Arial" w:cs="Arial"/>
          <w:sz w:val="20"/>
          <w:szCs w:val="20"/>
        </w:rPr>
      </w:pPr>
      <w:r w:rsidRPr="009C5C44">
        <w:rPr>
          <w:rFonts w:ascii="Arial" w:hAnsi="Arial" w:cs="Arial"/>
          <w:sz w:val="20"/>
          <w:szCs w:val="20"/>
        </w:rPr>
        <w:t>Variables</w:t>
      </w:r>
    </w:p>
    <w:p w:rsidR="002E14E4" w:rsidRPr="002E14E4" w:rsidRDefault="002E14E4" w:rsidP="002E14E4">
      <w:pPr>
        <w:pStyle w:val="Textoindependiente"/>
        <w:spacing w:before="0" w:after="0"/>
      </w:pPr>
    </w:p>
    <w:p w:rsidR="002E14E4" w:rsidRDefault="009C5C44" w:rsidP="002E14E4">
      <w:pPr>
        <w:pStyle w:val="Prrafodelista"/>
        <w:spacing w:after="0" w:line="240" w:lineRule="auto"/>
        <w:ind w:left="0" w:firstLine="567"/>
        <w:contextualSpacing w:val="0"/>
        <w:jc w:val="both"/>
        <w:rPr>
          <w:rFonts w:ascii="Arial" w:eastAsia="Times New Roman" w:hAnsi="Arial" w:cs="Arial"/>
          <w:sz w:val="20"/>
          <w:szCs w:val="20"/>
          <w:lang w:val="es-ES" w:eastAsia="es-ES"/>
        </w:rPr>
      </w:pPr>
      <w:r w:rsidRPr="009C5C44">
        <w:rPr>
          <w:rFonts w:ascii="Arial" w:eastAsia="Times New Roman" w:hAnsi="Arial" w:cs="Arial"/>
          <w:sz w:val="20"/>
          <w:szCs w:val="20"/>
          <w:lang w:val="es-ES" w:eastAsia="es-ES"/>
        </w:rPr>
        <w:t>La metodología elegida para estudiar los factores que inciden en la estructura financiera de l</w:t>
      </w:r>
      <w:r w:rsidR="002E14E4">
        <w:rPr>
          <w:rFonts w:ascii="Arial" w:eastAsia="Times New Roman" w:hAnsi="Arial" w:cs="Arial"/>
          <w:sz w:val="20"/>
          <w:szCs w:val="20"/>
          <w:lang w:val="es-ES" w:eastAsia="es-ES"/>
        </w:rPr>
        <w:t>as cooperativas agrarias</w:t>
      </w:r>
      <w:r w:rsidRPr="009C5C44">
        <w:rPr>
          <w:rFonts w:ascii="Arial" w:eastAsia="Times New Roman" w:hAnsi="Arial" w:cs="Arial"/>
          <w:sz w:val="20"/>
          <w:szCs w:val="20"/>
          <w:lang w:val="es-ES" w:eastAsia="es-ES"/>
        </w:rPr>
        <w:t xml:space="preserve"> españolas ha sido la regresión lineal múltiple. Para ello se han seleccionado una serie de variables que, atendiendo a las teorías sobre la estructura financiera analizadas en el epígrafe 2, parecen tener algún efecto teórico sobre las decisiones de financiación de estas entidades. Como también la composición del endeudamiento y sus factores determinantes va a ser objeto de análisis en este trabajo, se han definido como variables dependientes los ratios de endeudamiento a corto plazo (deuda a corto plazo sobre deuda total), endeudamiento a largo plazo (deuda a largo plazo sobre deuda total) y endeudamiento total, definido este último como la relación entre la deuda total y el activo total de la cooperativa.</w:t>
      </w:r>
    </w:p>
    <w:p w:rsidR="006C71BC" w:rsidRPr="006C71BC" w:rsidRDefault="006C71BC" w:rsidP="006C71BC">
      <w:pPr>
        <w:ind w:left="720"/>
      </w:pPr>
    </w:p>
    <w:p w:rsidR="006C71BC" w:rsidRPr="006C71BC" w:rsidRDefault="006C71BC" w:rsidP="006C71BC">
      <w:pPr>
        <w:pStyle w:val="Numeracindetablasyfiguras"/>
        <w:spacing w:before="0"/>
        <w:rPr>
          <w:rFonts w:ascii="Arial" w:hAnsi="Arial" w:cs="Arial"/>
          <w:szCs w:val="20"/>
          <w:lang w:val="es-ES"/>
        </w:rPr>
      </w:pPr>
      <w:r w:rsidRPr="006C71BC">
        <w:rPr>
          <w:rFonts w:ascii="Arial" w:hAnsi="Arial" w:cs="Arial"/>
          <w:szCs w:val="20"/>
          <w:lang w:val="es-ES"/>
        </w:rPr>
        <w:t>CUADRO 4</w:t>
      </w:r>
    </w:p>
    <w:p w:rsidR="006C71BC" w:rsidRPr="006C71BC" w:rsidRDefault="006C71BC" w:rsidP="006C71BC">
      <w:pPr>
        <w:pStyle w:val="Ttulodetablasyfiguras"/>
        <w:spacing w:after="0"/>
        <w:rPr>
          <w:rFonts w:ascii="Arial" w:hAnsi="Arial" w:cs="Arial"/>
          <w:b w:val="0"/>
          <w:szCs w:val="20"/>
          <w:lang w:val="es-ES"/>
        </w:rPr>
      </w:pPr>
      <w:r w:rsidRPr="006C71BC">
        <w:rPr>
          <w:rFonts w:ascii="Arial" w:hAnsi="Arial" w:cs="Arial"/>
          <w:b w:val="0"/>
          <w:szCs w:val="20"/>
          <w:lang w:val="es-ES"/>
        </w:rPr>
        <w:t>Contraste t de medias para muestras relacionadas</w:t>
      </w:r>
    </w:p>
    <w:tbl>
      <w:tblPr>
        <w:tblW w:w="10011" w:type="dxa"/>
        <w:tblInd w:w="-7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540"/>
        <w:gridCol w:w="1980"/>
        <w:gridCol w:w="900"/>
        <w:gridCol w:w="900"/>
        <w:gridCol w:w="1080"/>
        <w:gridCol w:w="900"/>
        <w:gridCol w:w="1011"/>
        <w:gridCol w:w="900"/>
        <w:gridCol w:w="900"/>
        <w:gridCol w:w="900"/>
      </w:tblGrid>
      <w:tr w:rsidR="006C71BC" w:rsidRPr="004A292E" w:rsidTr="006C71BC">
        <w:trPr>
          <w:cantSplit/>
          <w:tblHeader/>
        </w:trPr>
        <w:tc>
          <w:tcPr>
            <w:tcW w:w="540" w:type="dxa"/>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rPr>
                <w:rFonts w:ascii="Arial" w:hAnsi="Arial" w:cs="Arial"/>
                <w:sz w:val="14"/>
                <w:szCs w:val="14"/>
              </w:rPr>
            </w:pPr>
          </w:p>
        </w:tc>
        <w:tc>
          <w:tcPr>
            <w:tcW w:w="198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rPr>
                <w:rFonts w:ascii="Arial" w:hAnsi="Arial" w:cs="Arial"/>
                <w:sz w:val="14"/>
                <w:szCs w:val="14"/>
              </w:rPr>
            </w:pPr>
          </w:p>
        </w:tc>
        <w:tc>
          <w:tcPr>
            <w:tcW w:w="7491" w:type="dxa"/>
            <w:gridSpan w:val="8"/>
            <w:tcBorders>
              <w:top w:val="single" w:sz="16" w:space="0" w:color="000000"/>
              <w:left w:val="single" w:sz="16" w:space="0" w:color="000000"/>
              <w:right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color w:val="000000"/>
                <w:sz w:val="14"/>
                <w:szCs w:val="14"/>
              </w:rPr>
            </w:pPr>
            <w:r w:rsidRPr="004A292E">
              <w:rPr>
                <w:rFonts w:ascii="Arial" w:hAnsi="Arial" w:cs="Arial"/>
                <w:color w:val="000000"/>
                <w:sz w:val="14"/>
                <w:szCs w:val="14"/>
              </w:rPr>
              <w:t>Diferencias relacionadas</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ind w:left="-37" w:firstLine="37"/>
              <w:rPr>
                <w:rFonts w:ascii="Arial" w:hAnsi="Arial" w:cs="Arial"/>
                <w:sz w:val="14"/>
                <w:szCs w:val="14"/>
              </w:rPr>
            </w:pP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rPr>
                <w:rFonts w:ascii="Arial" w:hAnsi="Arial" w:cs="Arial"/>
                <w:sz w:val="14"/>
                <w:szCs w:val="14"/>
              </w:rPr>
            </w:pPr>
          </w:p>
        </w:tc>
        <w:tc>
          <w:tcPr>
            <w:tcW w:w="900" w:type="dxa"/>
            <w:vMerge w:val="restart"/>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color w:val="000000"/>
                <w:sz w:val="14"/>
                <w:szCs w:val="14"/>
              </w:rPr>
            </w:pPr>
            <w:r w:rsidRPr="004A292E">
              <w:rPr>
                <w:rFonts w:ascii="Arial" w:hAnsi="Arial" w:cs="Arial"/>
                <w:color w:val="000000"/>
                <w:sz w:val="14"/>
                <w:szCs w:val="14"/>
              </w:rPr>
              <w:t>Media</w:t>
            </w:r>
          </w:p>
        </w:tc>
        <w:tc>
          <w:tcPr>
            <w:tcW w:w="900" w:type="dxa"/>
            <w:vMerge w:val="restart"/>
            <w:tcBorders>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color w:val="000000"/>
                <w:sz w:val="14"/>
                <w:szCs w:val="14"/>
              </w:rPr>
            </w:pPr>
            <w:r w:rsidRPr="004A292E">
              <w:rPr>
                <w:rFonts w:ascii="Arial" w:hAnsi="Arial" w:cs="Arial"/>
                <w:color w:val="000000"/>
                <w:sz w:val="14"/>
                <w:szCs w:val="14"/>
              </w:rPr>
              <w:t xml:space="preserve">Desviación </w:t>
            </w:r>
            <w:proofErr w:type="spellStart"/>
            <w:r w:rsidRPr="004A292E">
              <w:rPr>
                <w:rFonts w:ascii="Arial" w:hAnsi="Arial" w:cs="Arial"/>
                <w:color w:val="000000"/>
                <w:sz w:val="14"/>
                <w:szCs w:val="14"/>
              </w:rPr>
              <w:t>típ</w:t>
            </w:r>
            <w:proofErr w:type="spellEnd"/>
            <w:r w:rsidRPr="004A292E">
              <w:rPr>
                <w:rFonts w:ascii="Arial" w:hAnsi="Arial" w:cs="Arial"/>
                <w:color w:val="000000"/>
                <w:sz w:val="14"/>
                <w:szCs w:val="14"/>
              </w:rPr>
              <w:t>.</w:t>
            </w:r>
          </w:p>
        </w:tc>
        <w:tc>
          <w:tcPr>
            <w:tcW w:w="1080" w:type="dxa"/>
            <w:vMerge w:val="restart"/>
            <w:tcBorders>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color w:val="000000"/>
                <w:sz w:val="14"/>
                <w:szCs w:val="14"/>
              </w:rPr>
            </w:pPr>
            <w:r w:rsidRPr="004A292E">
              <w:rPr>
                <w:rFonts w:ascii="Arial" w:hAnsi="Arial" w:cs="Arial"/>
                <w:color w:val="000000"/>
                <w:sz w:val="14"/>
                <w:szCs w:val="14"/>
              </w:rPr>
              <w:t xml:space="preserve">Error </w:t>
            </w:r>
            <w:proofErr w:type="spellStart"/>
            <w:r w:rsidRPr="004A292E">
              <w:rPr>
                <w:rFonts w:ascii="Arial" w:hAnsi="Arial" w:cs="Arial"/>
                <w:color w:val="000000"/>
                <w:sz w:val="14"/>
                <w:szCs w:val="14"/>
              </w:rPr>
              <w:t>típ</w:t>
            </w:r>
            <w:proofErr w:type="spellEnd"/>
            <w:r w:rsidRPr="004A292E">
              <w:rPr>
                <w:rFonts w:ascii="Arial" w:hAnsi="Arial" w:cs="Arial"/>
                <w:color w:val="000000"/>
                <w:sz w:val="14"/>
                <w:szCs w:val="14"/>
              </w:rPr>
              <w:t>. de la media</w:t>
            </w:r>
          </w:p>
        </w:tc>
        <w:tc>
          <w:tcPr>
            <w:tcW w:w="1911" w:type="dxa"/>
            <w:gridSpan w:val="2"/>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color w:val="000000"/>
                <w:sz w:val="14"/>
                <w:szCs w:val="14"/>
              </w:rPr>
            </w:pPr>
            <w:r w:rsidRPr="004A292E">
              <w:rPr>
                <w:rFonts w:ascii="Arial" w:hAnsi="Arial" w:cs="Arial"/>
                <w:color w:val="000000"/>
                <w:sz w:val="14"/>
                <w:szCs w:val="14"/>
              </w:rPr>
              <w:t>95% Intervalo de confianza para la diferencia</w:t>
            </w:r>
          </w:p>
        </w:tc>
        <w:tc>
          <w:tcPr>
            <w:tcW w:w="900" w:type="dxa"/>
            <w:vMerge w:val="restart"/>
            <w:tcBorders>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color w:val="000000"/>
                <w:sz w:val="14"/>
                <w:szCs w:val="14"/>
              </w:rPr>
            </w:pPr>
            <w:r w:rsidRPr="004A292E">
              <w:rPr>
                <w:rFonts w:ascii="Arial" w:hAnsi="Arial" w:cs="Arial"/>
                <w:color w:val="000000"/>
                <w:sz w:val="14"/>
                <w:szCs w:val="14"/>
              </w:rPr>
              <w:t>t</w:t>
            </w:r>
          </w:p>
        </w:tc>
        <w:tc>
          <w:tcPr>
            <w:tcW w:w="900" w:type="dxa"/>
            <w:vMerge w:val="restart"/>
            <w:tcBorders>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color w:val="000000"/>
                <w:sz w:val="14"/>
                <w:szCs w:val="14"/>
              </w:rPr>
            </w:pPr>
            <w:proofErr w:type="spellStart"/>
            <w:r w:rsidRPr="004A292E">
              <w:rPr>
                <w:rFonts w:ascii="Arial" w:hAnsi="Arial" w:cs="Arial"/>
                <w:color w:val="000000"/>
                <w:sz w:val="14"/>
                <w:szCs w:val="14"/>
              </w:rPr>
              <w:t>gl</w:t>
            </w:r>
            <w:proofErr w:type="spellEnd"/>
          </w:p>
        </w:tc>
        <w:tc>
          <w:tcPr>
            <w:tcW w:w="900" w:type="dxa"/>
            <w:vMerge w:val="restart"/>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color w:val="000000"/>
                <w:sz w:val="14"/>
                <w:szCs w:val="14"/>
              </w:rPr>
            </w:pPr>
            <w:r w:rsidRPr="004A292E">
              <w:rPr>
                <w:rFonts w:ascii="Arial" w:hAnsi="Arial" w:cs="Arial"/>
                <w:color w:val="000000"/>
                <w:sz w:val="14"/>
                <w:szCs w:val="14"/>
              </w:rPr>
              <w:t>Sig. (bilateral)</w:t>
            </w:r>
          </w:p>
        </w:tc>
      </w:tr>
      <w:tr w:rsidR="006C71BC" w:rsidRPr="004A292E" w:rsidTr="006C71BC">
        <w:trPr>
          <w:cantSplit/>
          <w:tblHeader/>
        </w:trPr>
        <w:tc>
          <w:tcPr>
            <w:tcW w:w="540" w:type="dxa"/>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rPr>
                <w:rFonts w:ascii="Arial" w:hAnsi="Arial" w:cs="Arial"/>
                <w:sz w:val="14"/>
                <w:szCs w:val="14"/>
              </w:rPr>
            </w:pPr>
          </w:p>
        </w:tc>
        <w:tc>
          <w:tcPr>
            <w:tcW w:w="198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rPr>
                <w:rFonts w:ascii="Arial" w:hAnsi="Arial" w:cs="Arial"/>
                <w:sz w:val="14"/>
                <w:szCs w:val="14"/>
              </w:rPr>
            </w:pPr>
          </w:p>
        </w:tc>
        <w:tc>
          <w:tcPr>
            <w:tcW w:w="900" w:type="dxa"/>
            <w:vMerge/>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rPr>
                <w:rFonts w:ascii="Arial" w:hAnsi="Arial" w:cs="Arial"/>
                <w:sz w:val="14"/>
                <w:szCs w:val="14"/>
              </w:rPr>
            </w:pPr>
          </w:p>
        </w:tc>
        <w:tc>
          <w:tcPr>
            <w:tcW w:w="900" w:type="dxa"/>
            <w:vMerge/>
            <w:tcBorders>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rPr>
                <w:rFonts w:ascii="Arial" w:hAnsi="Arial" w:cs="Arial"/>
                <w:sz w:val="14"/>
                <w:szCs w:val="14"/>
              </w:rPr>
            </w:pPr>
          </w:p>
        </w:tc>
        <w:tc>
          <w:tcPr>
            <w:tcW w:w="1080" w:type="dxa"/>
            <w:vMerge/>
            <w:tcBorders>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rPr>
                <w:rFonts w:ascii="Arial" w:hAnsi="Arial" w:cs="Arial"/>
                <w:sz w:val="14"/>
                <w:szCs w:val="14"/>
              </w:rPr>
            </w:pPr>
          </w:p>
        </w:tc>
        <w:tc>
          <w:tcPr>
            <w:tcW w:w="900" w:type="dxa"/>
            <w:tcBorders>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color w:val="000000"/>
                <w:sz w:val="14"/>
                <w:szCs w:val="14"/>
              </w:rPr>
            </w:pPr>
            <w:r w:rsidRPr="004A292E">
              <w:rPr>
                <w:rFonts w:ascii="Arial" w:hAnsi="Arial" w:cs="Arial"/>
                <w:color w:val="000000"/>
                <w:sz w:val="14"/>
                <w:szCs w:val="14"/>
              </w:rPr>
              <w:t>Inferior</w:t>
            </w:r>
          </w:p>
        </w:tc>
        <w:tc>
          <w:tcPr>
            <w:tcW w:w="1011" w:type="dxa"/>
            <w:tcBorders>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spacing w:line="320" w:lineRule="atLeast"/>
              <w:jc w:val="center"/>
              <w:rPr>
                <w:rFonts w:ascii="Arial" w:hAnsi="Arial" w:cs="Arial"/>
                <w:color w:val="000000"/>
                <w:sz w:val="14"/>
                <w:szCs w:val="14"/>
              </w:rPr>
            </w:pPr>
            <w:r w:rsidRPr="004A292E">
              <w:rPr>
                <w:rFonts w:ascii="Arial" w:hAnsi="Arial" w:cs="Arial"/>
                <w:color w:val="000000"/>
                <w:sz w:val="14"/>
                <w:szCs w:val="14"/>
              </w:rPr>
              <w:t>Superior</w:t>
            </w:r>
          </w:p>
        </w:tc>
        <w:tc>
          <w:tcPr>
            <w:tcW w:w="900" w:type="dxa"/>
            <w:vMerge/>
            <w:tcBorders>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rPr>
                <w:rFonts w:ascii="Arial" w:hAnsi="Arial" w:cs="Arial"/>
                <w:color w:val="000000"/>
                <w:sz w:val="14"/>
                <w:szCs w:val="14"/>
              </w:rPr>
            </w:pPr>
          </w:p>
        </w:tc>
        <w:tc>
          <w:tcPr>
            <w:tcW w:w="900" w:type="dxa"/>
            <w:vMerge/>
            <w:tcBorders>
              <w:bottom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rPr>
                <w:rFonts w:ascii="Arial" w:hAnsi="Arial" w:cs="Arial"/>
                <w:color w:val="000000"/>
                <w:sz w:val="14"/>
                <w:szCs w:val="14"/>
              </w:rPr>
            </w:pPr>
          </w:p>
        </w:tc>
        <w:tc>
          <w:tcPr>
            <w:tcW w:w="900" w:type="dxa"/>
            <w:vMerge/>
            <w:tcBorders>
              <w:bottom w:val="single" w:sz="16" w:space="0" w:color="000000"/>
              <w:right w:val="single" w:sz="16" w:space="0" w:color="000000"/>
            </w:tcBorders>
            <w:shd w:val="clear" w:color="auto" w:fill="FFFFFF"/>
            <w:tcMar>
              <w:top w:w="30" w:type="dxa"/>
              <w:left w:w="30" w:type="dxa"/>
              <w:bottom w:w="30" w:type="dxa"/>
              <w:right w:w="30" w:type="dxa"/>
            </w:tcMar>
            <w:vAlign w:val="bottom"/>
          </w:tcPr>
          <w:p w:rsidR="006C71BC" w:rsidRPr="004A292E" w:rsidRDefault="006C71BC" w:rsidP="006C71BC">
            <w:pPr>
              <w:autoSpaceDE w:val="0"/>
              <w:autoSpaceDN w:val="0"/>
              <w:adjustRightInd w:val="0"/>
              <w:rPr>
                <w:rFonts w:ascii="Arial" w:hAnsi="Arial" w:cs="Arial"/>
                <w:color w:val="000000"/>
                <w:sz w:val="14"/>
                <w:szCs w:val="14"/>
              </w:rPr>
            </w:pPr>
          </w:p>
        </w:tc>
      </w:tr>
      <w:tr w:rsidR="006C71BC" w:rsidRPr="004A292E" w:rsidTr="006C71BC">
        <w:trPr>
          <w:cantSplit/>
          <w:tblHeader/>
        </w:trPr>
        <w:tc>
          <w:tcPr>
            <w:tcW w:w="540" w:type="dxa"/>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1</w:t>
            </w:r>
          </w:p>
        </w:tc>
        <w:tc>
          <w:tcPr>
            <w:tcW w:w="198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 xml:space="preserve">crecim_2006 - </w:t>
            </w:r>
            <w:proofErr w:type="spellStart"/>
            <w:r w:rsidRPr="004A292E">
              <w:rPr>
                <w:rFonts w:ascii="Arial" w:hAnsi="Arial" w:cs="Arial"/>
                <w:color w:val="000000"/>
                <w:sz w:val="14"/>
                <w:szCs w:val="14"/>
              </w:rPr>
              <w:t>Crecim_ventas</w:t>
            </w:r>
            <w:proofErr w:type="spellEnd"/>
          </w:p>
        </w:tc>
        <w:tc>
          <w:tcPr>
            <w:tcW w:w="90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,10261</w:t>
            </w:r>
          </w:p>
        </w:tc>
        <w:tc>
          <w:tcPr>
            <w:tcW w:w="900" w:type="dxa"/>
            <w:tcBorders>
              <w:top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,64244</w:t>
            </w:r>
          </w:p>
        </w:tc>
        <w:tc>
          <w:tcPr>
            <w:tcW w:w="1080" w:type="dxa"/>
            <w:tcBorders>
              <w:top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,07519</w:t>
            </w:r>
          </w:p>
        </w:tc>
        <w:tc>
          <w:tcPr>
            <w:tcW w:w="900" w:type="dxa"/>
            <w:tcBorders>
              <w:top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-,04728</w:t>
            </w:r>
          </w:p>
        </w:tc>
        <w:tc>
          <w:tcPr>
            <w:tcW w:w="1011" w:type="dxa"/>
            <w:tcBorders>
              <w:top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,25251</w:t>
            </w:r>
          </w:p>
        </w:tc>
        <w:tc>
          <w:tcPr>
            <w:tcW w:w="900" w:type="dxa"/>
            <w:tcBorders>
              <w:top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1,365</w:t>
            </w:r>
          </w:p>
        </w:tc>
        <w:tc>
          <w:tcPr>
            <w:tcW w:w="900" w:type="dxa"/>
            <w:tcBorders>
              <w:top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72</w:t>
            </w:r>
          </w:p>
        </w:tc>
        <w:tc>
          <w:tcPr>
            <w:tcW w:w="9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,177</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2</w:t>
            </w: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 xml:space="preserve">maturity_2006 - </w:t>
            </w:r>
            <w:proofErr w:type="spellStart"/>
            <w:r w:rsidRPr="004A292E">
              <w:rPr>
                <w:rFonts w:ascii="Arial" w:hAnsi="Arial" w:cs="Arial"/>
                <w:color w:val="000000"/>
                <w:sz w:val="14"/>
                <w:szCs w:val="14"/>
              </w:rPr>
              <w:t>Maturity_matching</w:t>
            </w:r>
            <w:proofErr w:type="spellEnd"/>
          </w:p>
        </w:tc>
        <w:tc>
          <w:tcPr>
            <w:tcW w:w="900" w:type="dxa"/>
            <w:tcBorders>
              <w:top w:val="nil"/>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,01773</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,18531</w:t>
            </w:r>
          </w:p>
        </w:tc>
        <w:tc>
          <w:tcPr>
            <w:tcW w:w="108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,01953</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-,02108</w:t>
            </w:r>
          </w:p>
        </w:tc>
        <w:tc>
          <w:tcPr>
            <w:tcW w:w="1011"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,05654</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,908</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89</w:t>
            </w:r>
          </w:p>
        </w:tc>
        <w:tc>
          <w:tcPr>
            <w:tcW w:w="900" w:type="dxa"/>
            <w:tcBorders>
              <w:top w:val="nil"/>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,366</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3</w:t>
            </w: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 xml:space="preserve">LnATn_2006 - </w:t>
            </w:r>
            <w:proofErr w:type="spellStart"/>
            <w:r w:rsidRPr="004A292E">
              <w:rPr>
                <w:rFonts w:ascii="Arial" w:hAnsi="Arial" w:cs="Arial"/>
                <w:color w:val="000000"/>
                <w:sz w:val="14"/>
                <w:szCs w:val="14"/>
              </w:rPr>
              <w:t>Ln_ATn</w:t>
            </w:r>
            <w:proofErr w:type="spellEnd"/>
          </w:p>
        </w:tc>
        <w:tc>
          <w:tcPr>
            <w:tcW w:w="900" w:type="dxa"/>
            <w:tcBorders>
              <w:top w:val="nil"/>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-,13837</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1,41076</w:t>
            </w:r>
          </w:p>
        </w:tc>
        <w:tc>
          <w:tcPr>
            <w:tcW w:w="108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,14871</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-,43385</w:t>
            </w:r>
          </w:p>
        </w:tc>
        <w:tc>
          <w:tcPr>
            <w:tcW w:w="1011"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,15710</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-,931</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89</w:t>
            </w:r>
          </w:p>
        </w:tc>
        <w:tc>
          <w:tcPr>
            <w:tcW w:w="900" w:type="dxa"/>
            <w:tcBorders>
              <w:top w:val="nil"/>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,355</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4</w:t>
            </w: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LnATn1_2006 - Ln_ATn1</w:t>
            </w:r>
          </w:p>
        </w:tc>
        <w:tc>
          <w:tcPr>
            <w:tcW w:w="900" w:type="dxa"/>
            <w:tcBorders>
              <w:top w:val="nil"/>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-,09814</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,89437</w:t>
            </w:r>
          </w:p>
        </w:tc>
        <w:tc>
          <w:tcPr>
            <w:tcW w:w="108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,10468</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-,30682</w:t>
            </w:r>
          </w:p>
        </w:tc>
        <w:tc>
          <w:tcPr>
            <w:tcW w:w="1011"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,11053</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-,938</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72</w:t>
            </w:r>
          </w:p>
        </w:tc>
        <w:tc>
          <w:tcPr>
            <w:tcW w:w="900" w:type="dxa"/>
            <w:tcBorders>
              <w:top w:val="nil"/>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,352</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5</w:t>
            </w: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 xml:space="preserve">Activo_total_2006 - </w:t>
            </w:r>
            <w:proofErr w:type="spellStart"/>
            <w:r w:rsidRPr="004A292E">
              <w:rPr>
                <w:rFonts w:ascii="Arial" w:hAnsi="Arial" w:cs="Arial"/>
                <w:color w:val="000000"/>
                <w:sz w:val="14"/>
                <w:szCs w:val="14"/>
              </w:rPr>
              <w:t>Activo_total</w:t>
            </w:r>
            <w:proofErr w:type="spellEnd"/>
          </w:p>
        </w:tc>
        <w:tc>
          <w:tcPr>
            <w:tcW w:w="900" w:type="dxa"/>
            <w:tcBorders>
              <w:top w:val="nil"/>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-431,47778</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26438,94804</w:t>
            </w:r>
          </w:p>
        </w:tc>
        <w:tc>
          <w:tcPr>
            <w:tcW w:w="108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2786,90982</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-5969,00824</w:t>
            </w:r>
          </w:p>
        </w:tc>
        <w:tc>
          <w:tcPr>
            <w:tcW w:w="1011"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5106,05268</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-,155</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89</w:t>
            </w:r>
          </w:p>
        </w:tc>
        <w:tc>
          <w:tcPr>
            <w:tcW w:w="900" w:type="dxa"/>
            <w:tcBorders>
              <w:top w:val="nil"/>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,877</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6</w:t>
            </w: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Ventas_2006 - Ventas</w:t>
            </w:r>
          </w:p>
        </w:tc>
        <w:tc>
          <w:tcPr>
            <w:tcW w:w="900" w:type="dxa"/>
            <w:tcBorders>
              <w:top w:val="nil"/>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-1020,82222</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27517,17712</w:t>
            </w:r>
          </w:p>
        </w:tc>
        <w:tc>
          <w:tcPr>
            <w:tcW w:w="108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2900,56515</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-6784,18339</w:t>
            </w:r>
          </w:p>
        </w:tc>
        <w:tc>
          <w:tcPr>
            <w:tcW w:w="1011"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4742,53895</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-,352</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89</w:t>
            </w:r>
          </w:p>
        </w:tc>
        <w:tc>
          <w:tcPr>
            <w:tcW w:w="900" w:type="dxa"/>
            <w:tcBorders>
              <w:top w:val="nil"/>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,726</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7</w:t>
            </w: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Empleados_2006 - Empleados</w:t>
            </w:r>
          </w:p>
        </w:tc>
        <w:tc>
          <w:tcPr>
            <w:tcW w:w="900" w:type="dxa"/>
            <w:tcBorders>
              <w:top w:val="nil"/>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-,24691</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47,50277</w:t>
            </w:r>
          </w:p>
        </w:tc>
        <w:tc>
          <w:tcPr>
            <w:tcW w:w="108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5,27809</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-10,75064</w:t>
            </w:r>
          </w:p>
        </w:tc>
        <w:tc>
          <w:tcPr>
            <w:tcW w:w="1011"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10,25681</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-,047</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80</w:t>
            </w:r>
          </w:p>
        </w:tc>
        <w:tc>
          <w:tcPr>
            <w:tcW w:w="900" w:type="dxa"/>
            <w:tcBorders>
              <w:top w:val="nil"/>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,963</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lastRenderedPageBreak/>
              <w:t>Par 8</w:t>
            </w: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Endeudamiento_2006 - Endeudamiento</w:t>
            </w:r>
          </w:p>
        </w:tc>
        <w:tc>
          <w:tcPr>
            <w:tcW w:w="900" w:type="dxa"/>
            <w:tcBorders>
              <w:top w:val="nil"/>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25,36462</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25,45097</w:t>
            </w:r>
          </w:p>
        </w:tc>
        <w:tc>
          <w:tcPr>
            <w:tcW w:w="108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2,68277</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20,3402</w:t>
            </w:r>
          </w:p>
        </w:tc>
        <w:tc>
          <w:tcPr>
            <w:tcW w:w="1011"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30,69522</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9,455</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89</w:t>
            </w:r>
          </w:p>
        </w:tc>
        <w:tc>
          <w:tcPr>
            <w:tcW w:w="900" w:type="dxa"/>
            <w:tcBorders>
              <w:top w:val="nil"/>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,000**</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9</w:t>
            </w: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Liquidez_2006 - Liquidez</w:t>
            </w:r>
          </w:p>
        </w:tc>
        <w:tc>
          <w:tcPr>
            <w:tcW w:w="900" w:type="dxa"/>
            <w:tcBorders>
              <w:top w:val="nil"/>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-,94080</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6,47051</w:t>
            </w:r>
          </w:p>
        </w:tc>
        <w:tc>
          <w:tcPr>
            <w:tcW w:w="108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,68205</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-2,29602</w:t>
            </w:r>
          </w:p>
        </w:tc>
        <w:tc>
          <w:tcPr>
            <w:tcW w:w="1011"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,41442</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-1,379</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89</w:t>
            </w:r>
          </w:p>
        </w:tc>
        <w:tc>
          <w:tcPr>
            <w:tcW w:w="900" w:type="dxa"/>
            <w:tcBorders>
              <w:top w:val="nil"/>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,171</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10</w:t>
            </w: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Capitalizacion_2006 - Capitalización</w:t>
            </w:r>
          </w:p>
        </w:tc>
        <w:tc>
          <w:tcPr>
            <w:tcW w:w="900" w:type="dxa"/>
            <w:tcBorders>
              <w:top w:val="nil"/>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-,02731</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,25479</w:t>
            </w:r>
          </w:p>
        </w:tc>
        <w:tc>
          <w:tcPr>
            <w:tcW w:w="108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,02686</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-,08067</w:t>
            </w:r>
          </w:p>
        </w:tc>
        <w:tc>
          <w:tcPr>
            <w:tcW w:w="1011"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,02606</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-1,017</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89</w:t>
            </w:r>
          </w:p>
        </w:tc>
        <w:tc>
          <w:tcPr>
            <w:tcW w:w="900" w:type="dxa"/>
            <w:tcBorders>
              <w:top w:val="nil"/>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,312</w:t>
            </w:r>
          </w:p>
        </w:tc>
      </w:tr>
      <w:tr w:rsidR="006C71BC" w:rsidRPr="004A292E" w:rsidTr="006C71BC">
        <w:trPr>
          <w:cantSplit/>
          <w:tblHeader/>
        </w:trPr>
        <w:tc>
          <w:tcPr>
            <w:tcW w:w="540" w:type="dxa"/>
            <w:tcBorders>
              <w:top w:val="nil"/>
              <w:left w:val="single" w:sz="16" w:space="0" w:color="000000"/>
              <w:bottom w:val="nil"/>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11</w:t>
            </w:r>
          </w:p>
        </w:tc>
        <w:tc>
          <w:tcPr>
            <w:tcW w:w="1980" w:type="dxa"/>
            <w:tcBorders>
              <w:top w:val="nil"/>
              <w:left w:val="nil"/>
              <w:bottom w:val="nil"/>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 xml:space="preserve">amortiz_gastos_2006 - </w:t>
            </w:r>
            <w:proofErr w:type="spellStart"/>
            <w:r w:rsidRPr="004A292E">
              <w:rPr>
                <w:rFonts w:ascii="Arial" w:hAnsi="Arial" w:cs="Arial"/>
                <w:color w:val="000000"/>
                <w:sz w:val="14"/>
                <w:szCs w:val="14"/>
              </w:rPr>
              <w:t>amortiz_gastos</w:t>
            </w:r>
            <w:proofErr w:type="spellEnd"/>
          </w:p>
        </w:tc>
        <w:tc>
          <w:tcPr>
            <w:tcW w:w="900" w:type="dxa"/>
            <w:tcBorders>
              <w:top w:val="nil"/>
              <w:left w:val="single" w:sz="16" w:space="0" w:color="000000"/>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,02896</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,11125</w:t>
            </w:r>
          </w:p>
        </w:tc>
        <w:tc>
          <w:tcPr>
            <w:tcW w:w="108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,01186</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,00539</w:t>
            </w:r>
          </w:p>
        </w:tc>
        <w:tc>
          <w:tcPr>
            <w:tcW w:w="1011"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,05253</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2,442</w:t>
            </w:r>
          </w:p>
        </w:tc>
        <w:tc>
          <w:tcPr>
            <w:tcW w:w="900" w:type="dxa"/>
            <w:tcBorders>
              <w:top w:val="nil"/>
              <w:bottom w:val="nil"/>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87</w:t>
            </w:r>
          </w:p>
        </w:tc>
        <w:tc>
          <w:tcPr>
            <w:tcW w:w="900" w:type="dxa"/>
            <w:tcBorders>
              <w:top w:val="nil"/>
              <w:bottom w:val="nil"/>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,017*</w:t>
            </w:r>
          </w:p>
        </w:tc>
      </w:tr>
      <w:tr w:rsidR="006C71BC" w:rsidRPr="004A292E" w:rsidTr="006C71BC">
        <w:trPr>
          <w:cantSplit/>
        </w:trPr>
        <w:tc>
          <w:tcPr>
            <w:tcW w:w="540" w:type="dxa"/>
            <w:tcBorders>
              <w:top w:val="nil"/>
              <w:left w:val="single" w:sz="16" w:space="0" w:color="000000"/>
              <w:bottom w:val="single" w:sz="16" w:space="0" w:color="000000"/>
              <w:right w:val="nil"/>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Par 12</w:t>
            </w:r>
          </w:p>
        </w:tc>
        <w:tc>
          <w:tcPr>
            <w:tcW w:w="1980"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6C71BC" w:rsidRPr="004A292E" w:rsidRDefault="006C71BC" w:rsidP="006C71BC">
            <w:pPr>
              <w:autoSpaceDE w:val="0"/>
              <w:autoSpaceDN w:val="0"/>
              <w:adjustRightInd w:val="0"/>
              <w:spacing w:line="320" w:lineRule="atLeast"/>
              <w:rPr>
                <w:rFonts w:ascii="Arial" w:hAnsi="Arial" w:cs="Arial"/>
                <w:color w:val="000000"/>
                <w:sz w:val="14"/>
                <w:szCs w:val="14"/>
              </w:rPr>
            </w:pPr>
            <w:r w:rsidRPr="004A292E">
              <w:rPr>
                <w:rFonts w:ascii="Arial" w:hAnsi="Arial" w:cs="Arial"/>
                <w:color w:val="000000"/>
                <w:sz w:val="14"/>
                <w:szCs w:val="14"/>
              </w:rPr>
              <w:t xml:space="preserve">rotacion_AT_2006 - </w:t>
            </w:r>
            <w:proofErr w:type="spellStart"/>
            <w:r w:rsidRPr="004A292E">
              <w:rPr>
                <w:rFonts w:ascii="Arial" w:hAnsi="Arial" w:cs="Arial"/>
                <w:color w:val="000000"/>
                <w:sz w:val="14"/>
                <w:szCs w:val="14"/>
              </w:rPr>
              <w:t>rotación_AT</w:t>
            </w:r>
            <w:proofErr w:type="spellEnd"/>
          </w:p>
        </w:tc>
        <w:tc>
          <w:tcPr>
            <w:tcW w:w="90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-,03085</w:t>
            </w:r>
          </w:p>
        </w:tc>
        <w:tc>
          <w:tcPr>
            <w:tcW w:w="900" w:type="dxa"/>
            <w:tcBorders>
              <w:top w:val="nil"/>
              <w:bottom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1,10977</w:t>
            </w:r>
          </w:p>
        </w:tc>
        <w:tc>
          <w:tcPr>
            <w:tcW w:w="1080" w:type="dxa"/>
            <w:tcBorders>
              <w:top w:val="nil"/>
              <w:bottom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,11698</w:t>
            </w:r>
          </w:p>
        </w:tc>
        <w:tc>
          <w:tcPr>
            <w:tcW w:w="900" w:type="dxa"/>
            <w:tcBorders>
              <w:top w:val="nil"/>
              <w:bottom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-,26329</w:t>
            </w:r>
          </w:p>
        </w:tc>
        <w:tc>
          <w:tcPr>
            <w:tcW w:w="1011" w:type="dxa"/>
            <w:tcBorders>
              <w:top w:val="nil"/>
              <w:bottom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,20159</w:t>
            </w:r>
          </w:p>
        </w:tc>
        <w:tc>
          <w:tcPr>
            <w:tcW w:w="900" w:type="dxa"/>
            <w:tcBorders>
              <w:top w:val="nil"/>
              <w:bottom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-,264</w:t>
            </w:r>
          </w:p>
        </w:tc>
        <w:tc>
          <w:tcPr>
            <w:tcW w:w="900" w:type="dxa"/>
            <w:tcBorders>
              <w:top w:val="nil"/>
              <w:bottom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89</w:t>
            </w:r>
          </w:p>
        </w:tc>
        <w:tc>
          <w:tcPr>
            <w:tcW w:w="90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6C71BC" w:rsidRPr="004A292E" w:rsidRDefault="006C71BC" w:rsidP="006C71BC">
            <w:pPr>
              <w:autoSpaceDE w:val="0"/>
              <w:autoSpaceDN w:val="0"/>
              <w:adjustRightInd w:val="0"/>
              <w:spacing w:line="320" w:lineRule="atLeast"/>
              <w:jc w:val="right"/>
              <w:rPr>
                <w:rFonts w:ascii="Arial" w:hAnsi="Arial" w:cs="Arial"/>
                <w:color w:val="000000"/>
                <w:sz w:val="14"/>
                <w:szCs w:val="14"/>
              </w:rPr>
            </w:pPr>
            <w:r w:rsidRPr="004A292E">
              <w:rPr>
                <w:rFonts w:ascii="Arial" w:hAnsi="Arial" w:cs="Arial"/>
                <w:color w:val="000000"/>
                <w:sz w:val="14"/>
                <w:szCs w:val="14"/>
              </w:rPr>
              <w:t>,793</w:t>
            </w:r>
          </w:p>
        </w:tc>
      </w:tr>
    </w:tbl>
    <w:p w:rsidR="006C71BC" w:rsidRPr="006C71BC" w:rsidRDefault="006C71BC" w:rsidP="006C71BC">
      <w:pPr>
        <w:rPr>
          <w:rFonts w:ascii="Arial" w:eastAsia="Times New Roman" w:hAnsi="Arial" w:cs="Arial"/>
          <w:b/>
          <w:sz w:val="20"/>
          <w:szCs w:val="20"/>
          <w:lang w:val="es-ES"/>
        </w:rPr>
      </w:pPr>
      <w:r w:rsidRPr="00D675E5">
        <w:rPr>
          <w:rFonts w:ascii="Arial" w:eastAsia="Times New Roman" w:hAnsi="Arial" w:cs="Arial"/>
          <w:sz w:val="18"/>
          <w:szCs w:val="18"/>
          <w:lang w:val="es-ES"/>
        </w:rPr>
        <w:t>Fuente: Elaboración propia.</w:t>
      </w:r>
    </w:p>
    <w:p w:rsidR="006C71BC" w:rsidRDefault="006C71BC" w:rsidP="006C71BC">
      <w:pPr>
        <w:spacing w:before="20" w:after="20"/>
        <w:ind w:left="720"/>
      </w:pPr>
    </w:p>
    <w:p w:rsidR="00A27D33" w:rsidRDefault="009C5C44" w:rsidP="00A27D33">
      <w:pPr>
        <w:pStyle w:val="Prrafodelista"/>
        <w:spacing w:after="0" w:line="240" w:lineRule="auto"/>
        <w:ind w:left="0" w:firstLine="567"/>
        <w:contextualSpacing w:val="0"/>
        <w:jc w:val="both"/>
        <w:rPr>
          <w:rFonts w:ascii="Arial" w:eastAsia="Times New Roman" w:hAnsi="Arial" w:cs="Arial"/>
          <w:sz w:val="20"/>
          <w:szCs w:val="20"/>
          <w:lang w:val="es-ES" w:eastAsia="es-ES"/>
        </w:rPr>
      </w:pPr>
      <w:r w:rsidRPr="009C5C44">
        <w:rPr>
          <w:rFonts w:ascii="Arial" w:eastAsia="Times New Roman" w:hAnsi="Arial" w:cs="Arial"/>
          <w:sz w:val="20"/>
          <w:szCs w:val="20"/>
          <w:lang w:val="es-ES" w:eastAsia="es-ES"/>
        </w:rPr>
        <w:t>La definición de las variables independientes se deriva de la contrastación de las hipótesis planteadas anteriormente y se resumen en el Cuadro siguiente:</w:t>
      </w:r>
    </w:p>
    <w:p w:rsidR="00A27D33" w:rsidRPr="00A27D33" w:rsidRDefault="00A27D33" w:rsidP="00A27D33">
      <w:pPr>
        <w:pStyle w:val="Prrafodelista"/>
        <w:spacing w:after="0" w:line="240" w:lineRule="auto"/>
        <w:ind w:left="0" w:firstLine="567"/>
        <w:contextualSpacing w:val="0"/>
        <w:jc w:val="both"/>
        <w:rPr>
          <w:rFonts w:ascii="Arial" w:eastAsia="Times New Roman" w:hAnsi="Arial" w:cs="Arial"/>
          <w:sz w:val="20"/>
          <w:szCs w:val="20"/>
          <w:lang w:val="es-ES" w:eastAsia="es-ES"/>
        </w:rPr>
      </w:pPr>
    </w:p>
    <w:p w:rsidR="00A27D33" w:rsidRPr="00A27D33" w:rsidRDefault="009C5C44" w:rsidP="00A27D33">
      <w:pPr>
        <w:pStyle w:val="Prrafodelista"/>
        <w:spacing w:after="0" w:line="240" w:lineRule="auto"/>
        <w:ind w:left="0"/>
        <w:contextualSpacing w:val="0"/>
        <w:jc w:val="center"/>
        <w:rPr>
          <w:rFonts w:ascii="Arial" w:eastAsia="Times New Roman" w:hAnsi="Arial" w:cs="Arial"/>
          <w:sz w:val="20"/>
          <w:szCs w:val="20"/>
          <w:lang w:val="es-ES" w:eastAsia="es-ES"/>
        </w:rPr>
      </w:pPr>
      <w:r w:rsidRPr="009C5C44">
        <w:rPr>
          <w:rFonts w:ascii="Arial" w:eastAsia="Times New Roman" w:hAnsi="Arial" w:cs="Arial"/>
          <w:sz w:val="20"/>
          <w:szCs w:val="20"/>
          <w:lang w:val="es-ES" w:eastAsia="es-ES"/>
        </w:rPr>
        <w:t xml:space="preserve">CUADRO </w:t>
      </w:r>
      <w:r w:rsidR="002E14E4">
        <w:rPr>
          <w:rFonts w:ascii="Arial" w:eastAsia="Times New Roman" w:hAnsi="Arial" w:cs="Arial"/>
          <w:sz w:val="20"/>
          <w:szCs w:val="20"/>
          <w:lang w:val="es-ES" w:eastAsia="es-ES"/>
        </w:rPr>
        <w:t>5</w:t>
      </w:r>
    </w:p>
    <w:p w:rsidR="00A27D33" w:rsidRPr="00A27D33" w:rsidRDefault="009C5C44" w:rsidP="00A27D33">
      <w:pPr>
        <w:pStyle w:val="Prrafodelista"/>
        <w:spacing w:after="0" w:line="240" w:lineRule="auto"/>
        <w:ind w:left="0"/>
        <w:contextualSpacing w:val="0"/>
        <w:jc w:val="center"/>
        <w:rPr>
          <w:rFonts w:ascii="Arial" w:eastAsia="Times New Roman" w:hAnsi="Arial" w:cs="Arial"/>
          <w:sz w:val="20"/>
          <w:szCs w:val="20"/>
          <w:lang w:val="es-ES" w:eastAsia="es-ES"/>
        </w:rPr>
      </w:pPr>
      <w:r w:rsidRPr="009C5C44">
        <w:rPr>
          <w:rFonts w:ascii="Arial" w:eastAsia="Times New Roman" w:hAnsi="Arial" w:cs="Arial"/>
          <w:sz w:val="20"/>
          <w:szCs w:val="20"/>
          <w:lang w:val="es-ES" w:eastAsia="es-ES"/>
        </w:rPr>
        <w:t>Hipótesis a contrastar y variables independientes</w:t>
      </w:r>
    </w:p>
    <w:tbl>
      <w:tblPr>
        <w:tblStyle w:val="Tablaconcuadrcula"/>
        <w:tblW w:w="0" w:type="auto"/>
        <w:tblLook w:val="04A0" w:firstRow="1" w:lastRow="0" w:firstColumn="1" w:lastColumn="0" w:noHBand="0" w:noVBand="1"/>
      </w:tblPr>
      <w:tblGrid>
        <w:gridCol w:w="3897"/>
        <w:gridCol w:w="3743"/>
        <w:gridCol w:w="1074"/>
      </w:tblGrid>
      <w:tr w:rsidR="00A27D33" w:rsidRPr="004A292E" w:rsidTr="00A27D33">
        <w:tc>
          <w:tcPr>
            <w:tcW w:w="3897" w:type="dxa"/>
            <w:tcBorders>
              <w:top w:val="single" w:sz="4" w:space="0" w:color="auto"/>
              <w:left w:val="single" w:sz="4" w:space="0" w:color="auto"/>
              <w:bottom w:val="single" w:sz="4" w:space="0" w:color="auto"/>
              <w:right w:val="single" w:sz="4" w:space="0" w:color="auto"/>
            </w:tcBorders>
            <w:hideMark/>
          </w:tcPr>
          <w:p w:rsidR="00A27D33" w:rsidRPr="004A292E" w:rsidRDefault="00A27D33" w:rsidP="00A27D33">
            <w:pPr>
              <w:spacing w:line="276" w:lineRule="auto"/>
              <w:jc w:val="center"/>
              <w:rPr>
                <w:rFonts w:ascii="Arial" w:hAnsi="Arial" w:cs="Arial"/>
                <w:b/>
                <w:sz w:val="16"/>
                <w:szCs w:val="16"/>
              </w:rPr>
            </w:pPr>
            <w:r w:rsidRPr="004A292E">
              <w:rPr>
                <w:rFonts w:ascii="Arial" w:hAnsi="Arial" w:cs="Arial"/>
                <w:b/>
                <w:sz w:val="16"/>
                <w:szCs w:val="16"/>
              </w:rPr>
              <w:t>Hipótesis a contrastar</w:t>
            </w:r>
          </w:p>
        </w:tc>
        <w:tc>
          <w:tcPr>
            <w:tcW w:w="3743" w:type="dxa"/>
            <w:tcBorders>
              <w:top w:val="single" w:sz="4" w:space="0" w:color="auto"/>
              <w:left w:val="single" w:sz="4" w:space="0" w:color="auto"/>
              <w:bottom w:val="single" w:sz="4" w:space="0" w:color="auto"/>
              <w:right w:val="single" w:sz="4" w:space="0" w:color="auto"/>
            </w:tcBorders>
            <w:hideMark/>
          </w:tcPr>
          <w:p w:rsidR="00A27D33" w:rsidRPr="004A292E" w:rsidRDefault="00A27D33" w:rsidP="00A27D33">
            <w:pPr>
              <w:spacing w:line="276" w:lineRule="auto"/>
              <w:jc w:val="center"/>
              <w:rPr>
                <w:rFonts w:ascii="Arial" w:hAnsi="Arial" w:cs="Arial"/>
                <w:b/>
                <w:sz w:val="16"/>
                <w:szCs w:val="16"/>
              </w:rPr>
            </w:pPr>
            <w:r w:rsidRPr="004A292E">
              <w:rPr>
                <w:rFonts w:ascii="Arial" w:hAnsi="Arial" w:cs="Arial"/>
                <w:b/>
                <w:sz w:val="16"/>
                <w:szCs w:val="16"/>
              </w:rPr>
              <w:t>Variables utilizadas</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jc w:val="center"/>
              <w:rPr>
                <w:rFonts w:ascii="Arial" w:hAnsi="Arial" w:cs="Arial"/>
                <w:b/>
                <w:sz w:val="16"/>
                <w:szCs w:val="16"/>
              </w:rPr>
            </w:pPr>
            <w:r w:rsidRPr="004A292E">
              <w:rPr>
                <w:rFonts w:ascii="Arial" w:hAnsi="Arial" w:cs="Arial"/>
                <w:b/>
                <w:sz w:val="16"/>
                <w:szCs w:val="16"/>
              </w:rPr>
              <w:t>Código</w:t>
            </w:r>
          </w:p>
        </w:tc>
      </w:tr>
      <w:tr w:rsidR="00A27D33" w:rsidRPr="004A292E" w:rsidTr="00A27D33">
        <w:tc>
          <w:tcPr>
            <w:tcW w:w="3897"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H</w:t>
            </w:r>
            <w:r w:rsidRPr="004A292E">
              <w:rPr>
                <w:rFonts w:ascii="Arial" w:hAnsi="Arial" w:cs="Arial"/>
                <w:sz w:val="16"/>
                <w:szCs w:val="16"/>
                <w:vertAlign w:val="subscript"/>
              </w:rPr>
              <w:t>1</w:t>
            </w:r>
            <w:r w:rsidRPr="004A292E">
              <w:rPr>
                <w:rFonts w:ascii="Arial" w:hAnsi="Arial" w:cs="Arial"/>
                <w:sz w:val="16"/>
                <w:szCs w:val="16"/>
              </w:rPr>
              <w:t>: Teoría del Óptimo Financiero</w:t>
            </w:r>
          </w:p>
        </w:tc>
        <w:tc>
          <w:tcPr>
            <w:tcW w:w="3743"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Gastos amortización / Total Gastos</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proofErr w:type="spellStart"/>
            <w:r w:rsidRPr="004A292E">
              <w:rPr>
                <w:rFonts w:ascii="Arial" w:hAnsi="Arial" w:cs="Arial"/>
                <w:sz w:val="16"/>
                <w:szCs w:val="16"/>
              </w:rPr>
              <w:t>Amort</w:t>
            </w:r>
            <w:proofErr w:type="spellEnd"/>
            <w:r w:rsidRPr="004A292E">
              <w:rPr>
                <w:rFonts w:ascii="Arial" w:hAnsi="Arial" w:cs="Arial"/>
                <w:sz w:val="16"/>
                <w:szCs w:val="16"/>
              </w:rPr>
              <w:t>.</w:t>
            </w:r>
          </w:p>
        </w:tc>
      </w:tr>
      <w:tr w:rsidR="00A27D33" w:rsidRPr="004A292E" w:rsidTr="00A27D33">
        <w:tc>
          <w:tcPr>
            <w:tcW w:w="3897" w:type="dxa"/>
            <w:vMerge w:val="restart"/>
            <w:tcBorders>
              <w:top w:val="single" w:sz="4" w:space="0" w:color="auto"/>
              <w:left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H</w:t>
            </w:r>
            <w:r w:rsidRPr="004A292E">
              <w:rPr>
                <w:rFonts w:ascii="Arial" w:hAnsi="Arial" w:cs="Arial"/>
                <w:sz w:val="16"/>
                <w:szCs w:val="16"/>
                <w:vertAlign w:val="subscript"/>
              </w:rPr>
              <w:t>2</w:t>
            </w:r>
            <w:r w:rsidRPr="004A292E">
              <w:rPr>
                <w:rFonts w:ascii="Arial" w:hAnsi="Arial" w:cs="Arial"/>
                <w:sz w:val="16"/>
                <w:szCs w:val="16"/>
              </w:rPr>
              <w:t>: Teoría de la Jerarquización Financiera</w:t>
            </w:r>
          </w:p>
        </w:tc>
        <w:tc>
          <w:tcPr>
            <w:tcW w:w="3743"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Capitalización (</w:t>
            </w:r>
            <w:proofErr w:type="spellStart"/>
            <w:r w:rsidRPr="004A292E">
              <w:rPr>
                <w:rFonts w:ascii="Arial" w:hAnsi="Arial" w:cs="Arial"/>
                <w:sz w:val="16"/>
                <w:szCs w:val="16"/>
              </w:rPr>
              <w:t>Capital+Reservas</w:t>
            </w:r>
            <w:proofErr w:type="spellEnd"/>
            <w:r w:rsidRPr="004A292E">
              <w:rPr>
                <w:rFonts w:ascii="Arial" w:hAnsi="Arial" w:cs="Arial"/>
                <w:sz w:val="16"/>
                <w:szCs w:val="16"/>
              </w:rPr>
              <w:t>)/(</w:t>
            </w:r>
            <w:proofErr w:type="spellStart"/>
            <w:r w:rsidRPr="004A292E">
              <w:rPr>
                <w:rFonts w:ascii="Arial" w:hAnsi="Arial" w:cs="Arial"/>
                <w:sz w:val="16"/>
                <w:szCs w:val="16"/>
              </w:rPr>
              <w:t>Pneto+Pasivo</w:t>
            </w:r>
            <w:proofErr w:type="spellEnd"/>
            <w:r w:rsidRPr="004A292E">
              <w:rPr>
                <w:rFonts w:ascii="Arial" w:hAnsi="Arial" w:cs="Arial"/>
                <w:sz w:val="16"/>
                <w:szCs w:val="16"/>
              </w:rPr>
              <w:t>)</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proofErr w:type="spellStart"/>
            <w:r w:rsidRPr="004A292E">
              <w:rPr>
                <w:rFonts w:ascii="Arial" w:hAnsi="Arial" w:cs="Arial"/>
                <w:sz w:val="16"/>
                <w:szCs w:val="16"/>
              </w:rPr>
              <w:t>Capit</w:t>
            </w:r>
            <w:proofErr w:type="spellEnd"/>
            <w:r w:rsidRPr="004A292E">
              <w:rPr>
                <w:rFonts w:ascii="Arial" w:hAnsi="Arial" w:cs="Arial"/>
                <w:sz w:val="16"/>
                <w:szCs w:val="16"/>
              </w:rPr>
              <w:t>.</w:t>
            </w:r>
          </w:p>
        </w:tc>
      </w:tr>
      <w:tr w:rsidR="00A27D33" w:rsidRPr="004A292E" w:rsidTr="00A27D33">
        <w:tc>
          <w:tcPr>
            <w:tcW w:w="3897" w:type="dxa"/>
            <w:vMerge/>
            <w:tcBorders>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p>
        </w:tc>
        <w:tc>
          <w:tcPr>
            <w:tcW w:w="3743"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 xml:space="preserve">Autofinanciación (Cash </w:t>
            </w:r>
            <w:proofErr w:type="spellStart"/>
            <w:r w:rsidRPr="004A292E">
              <w:rPr>
                <w:rFonts w:ascii="Arial" w:hAnsi="Arial" w:cs="Arial"/>
                <w:sz w:val="16"/>
                <w:szCs w:val="16"/>
              </w:rPr>
              <w:t>flow</w:t>
            </w:r>
            <w:proofErr w:type="spellEnd"/>
            <w:r w:rsidRPr="004A292E">
              <w:rPr>
                <w:rFonts w:ascii="Arial" w:hAnsi="Arial" w:cs="Arial"/>
                <w:sz w:val="16"/>
                <w:szCs w:val="16"/>
              </w:rPr>
              <w:t>/Inmovilizado material)</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proofErr w:type="spellStart"/>
            <w:r w:rsidRPr="004A292E">
              <w:rPr>
                <w:rFonts w:ascii="Arial" w:hAnsi="Arial" w:cs="Arial"/>
                <w:sz w:val="16"/>
                <w:szCs w:val="16"/>
              </w:rPr>
              <w:t>Autofin</w:t>
            </w:r>
            <w:proofErr w:type="spellEnd"/>
            <w:r w:rsidRPr="004A292E">
              <w:rPr>
                <w:rFonts w:ascii="Arial" w:hAnsi="Arial" w:cs="Arial"/>
                <w:sz w:val="16"/>
                <w:szCs w:val="16"/>
              </w:rPr>
              <w:t>.</w:t>
            </w:r>
          </w:p>
        </w:tc>
      </w:tr>
      <w:tr w:rsidR="00A27D33" w:rsidRPr="004A292E" w:rsidTr="00A27D33">
        <w:tc>
          <w:tcPr>
            <w:tcW w:w="3897"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H</w:t>
            </w:r>
            <w:r w:rsidRPr="004A292E">
              <w:rPr>
                <w:rFonts w:ascii="Arial" w:hAnsi="Arial" w:cs="Arial"/>
                <w:sz w:val="16"/>
                <w:szCs w:val="16"/>
                <w:vertAlign w:val="subscript"/>
              </w:rPr>
              <w:t>3</w:t>
            </w:r>
            <w:r w:rsidRPr="004A292E">
              <w:rPr>
                <w:rFonts w:ascii="Arial" w:hAnsi="Arial" w:cs="Arial"/>
                <w:sz w:val="16"/>
                <w:szCs w:val="16"/>
              </w:rPr>
              <w:t>: Teoría de la agencia</w:t>
            </w:r>
          </w:p>
        </w:tc>
        <w:tc>
          <w:tcPr>
            <w:tcW w:w="3743"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Crecimiento ventas (</w:t>
            </w:r>
            <w:proofErr w:type="spellStart"/>
            <w:r w:rsidRPr="004A292E">
              <w:rPr>
                <w:rFonts w:ascii="Arial" w:hAnsi="Arial" w:cs="Arial"/>
                <w:sz w:val="16"/>
                <w:szCs w:val="16"/>
              </w:rPr>
              <w:t>Ventas</w:t>
            </w:r>
            <w:r w:rsidRPr="004A292E">
              <w:rPr>
                <w:rFonts w:ascii="Arial" w:hAnsi="Arial" w:cs="Arial"/>
                <w:sz w:val="16"/>
                <w:szCs w:val="16"/>
                <w:vertAlign w:val="subscript"/>
              </w:rPr>
              <w:t>N</w:t>
            </w:r>
            <w:proofErr w:type="spellEnd"/>
            <w:r w:rsidRPr="004A292E">
              <w:rPr>
                <w:rFonts w:ascii="Arial" w:hAnsi="Arial" w:cs="Arial"/>
                <w:sz w:val="16"/>
                <w:szCs w:val="16"/>
              </w:rPr>
              <w:t>/Ventas</w:t>
            </w:r>
            <w:r w:rsidRPr="004A292E">
              <w:rPr>
                <w:rFonts w:ascii="Arial" w:hAnsi="Arial" w:cs="Arial"/>
                <w:sz w:val="16"/>
                <w:szCs w:val="16"/>
                <w:vertAlign w:val="subscript"/>
              </w:rPr>
              <w:t>N-1</w:t>
            </w:r>
            <w:r w:rsidRPr="004A292E">
              <w:rPr>
                <w:rFonts w:ascii="Arial" w:hAnsi="Arial" w:cs="Arial"/>
                <w:sz w:val="16"/>
                <w:szCs w:val="16"/>
              </w:rPr>
              <w:t>)</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Ventas</w:t>
            </w:r>
          </w:p>
        </w:tc>
      </w:tr>
      <w:tr w:rsidR="00A27D33" w:rsidRPr="004A292E" w:rsidTr="00A27D33">
        <w:tc>
          <w:tcPr>
            <w:tcW w:w="3897" w:type="dxa"/>
            <w:vMerge w:val="restart"/>
            <w:tcBorders>
              <w:top w:val="single" w:sz="4" w:space="0" w:color="auto"/>
              <w:left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H</w:t>
            </w:r>
            <w:r w:rsidRPr="004A292E">
              <w:rPr>
                <w:rFonts w:ascii="Arial" w:hAnsi="Arial" w:cs="Arial"/>
                <w:sz w:val="16"/>
                <w:szCs w:val="16"/>
                <w:vertAlign w:val="subscript"/>
              </w:rPr>
              <w:t>4</w:t>
            </w:r>
            <w:r w:rsidRPr="004A292E">
              <w:rPr>
                <w:rFonts w:ascii="Arial" w:hAnsi="Arial" w:cs="Arial"/>
                <w:sz w:val="16"/>
                <w:szCs w:val="16"/>
              </w:rPr>
              <w:t>: Emparejamiento por vencimientos</w:t>
            </w:r>
          </w:p>
        </w:tc>
        <w:tc>
          <w:tcPr>
            <w:tcW w:w="3743"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Composición del Activo (AC/AT)</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Activo</w:t>
            </w:r>
          </w:p>
        </w:tc>
      </w:tr>
      <w:tr w:rsidR="00A27D33" w:rsidRPr="004A292E" w:rsidTr="00A27D33">
        <w:tc>
          <w:tcPr>
            <w:tcW w:w="3897" w:type="dxa"/>
            <w:vMerge/>
            <w:tcBorders>
              <w:left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p>
        </w:tc>
        <w:tc>
          <w:tcPr>
            <w:tcW w:w="3743"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Ratio de liquidez general (AC/PC)</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Liq.1</w:t>
            </w:r>
          </w:p>
        </w:tc>
      </w:tr>
      <w:tr w:rsidR="00A27D33" w:rsidRPr="004A292E" w:rsidTr="00A27D33">
        <w:tc>
          <w:tcPr>
            <w:tcW w:w="3897" w:type="dxa"/>
            <w:vMerge/>
            <w:tcBorders>
              <w:left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p>
        </w:tc>
        <w:tc>
          <w:tcPr>
            <w:tcW w:w="3743"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Fondo de maniobra / PC</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Liq.2</w:t>
            </w:r>
          </w:p>
        </w:tc>
      </w:tr>
      <w:tr w:rsidR="00A27D33" w:rsidRPr="004A292E" w:rsidTr="00A27D33">
        <w:tc>
          <w:tcPr>
            <w:tcW w:w="3897" w:type="dxa"/>
            <w:vMerge/>
            <w:tcBorders>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p>
        </w:tc>
        <w:tc>
          <w:tcPr>
            <w:tcW w:w="3743"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Ratio de tesorería (</w:t>
            </w:r>
            <w:proofErr w:type="spellStart"/>
            <w:r w:rsidRPr="004A292E">
              <w:rPr>
                <w:rFonts w:ascii="Arial" w:hAnsi="Arial" w:cs="Arial"/>
                <w:sz w:val="16"/>
                <w:szCs w:val="16"/>
              </w:rPr>
              <w:t>Realizable+Efectivo</w:t>
            </w:r>
            <w:proofErr w:type="spellEnd"/>
            <w:r w:rsidRPr="004A292E">
              <w:rPr>
                <w:rFonts w:ascii="Arial" w:hAnsi="Arial" w:cs="Arial"/>
                <w:sz w:val="16"/>
                <w:szCs w:val="16"/>
              </w:rPr>
              <w:t>)/PC</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Liq.3</w:t>
            </w:r>
          </w:p>
        </w:tc>
      </w:tr>
      <w:tr w:rsidR="00A27D33" w:rsidRPr="004A292E" w:rsidTr="00A27D33">
        <w:tc>
          <w:tcPr>
            <w:tcW w:w="3897" w:type="dxa"/>
            <w:vMerge w:val="restart"/>
            <w:tcBorders>
              <w:top w:val="single" w:sz="4" w:space="0" w:color="auto"/>
              <w:left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r w:rsidRPr="004A292E">
              <w:rPr>
                <w:rFonts w:ascii="Arial" w:hAnsi="Arial" w:cs="Arial"/>
                <w:sz w:val="16"/>
                <w:szCs w:val="16"/>
              </w:rPr>
              <w:t>H</w:t>
            </w:r>
            <w:r w:rsidRPr="004A292E">
              <w:rPr>
                <w:rFonts w:ascii="Arial" w:hAnsi="Arial" w:cs="Arial"/>
                <w:sz w:val="16"/>
                <w:szCs w:val="16"/>
                <w:vertAlign w:val="subscript"/>
              </w:rPr>
              <w:t>5</w:t>
            </w:r>
            <w:r w:rsidRPr="004A292E">
              <w:rPr>
                <w:rFonts w:ascii="Arial" w:hAnsi="Arial" w:cs="Arial"/>
                <w:sz w:val="16"/>
                <w:szCs w:val="16"/>
              </w:rPr>
              <w:t>: Existe relación entre el endeudamiento y la dimensión empresarial</w:t>
            </w:r>
          </w:p>
        </w:tc>
        <w:tc>
          <w:tcPr>
            <w:tcW w:w="3743"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vertAlign w:val="subscript"/>
              </w:rPr>
            </w:pPr>
            <w:r w:rsidRPr="004A292E">
              <w:rPr>
                <w:rFonts w:ascii="Arial" w:hAnsi="Arial" w:cs="Arial"/>
                <w:sz w:val="16"/>
                <w:szCs w:val="16"/>
              </w:rPr>
              <w:t xml:space="preserve">Log. AT </w:t>
            </w:r>
            <w:r w:rsidRPr="004A292E">
              <w:rPr>
                <w:rFonts w:ascii="Arial" w:hAnsi="Arial" w:cs="Arial"/>
                <w:sz w:val="16"/>
                <w:szCs w:val="16"/>
                <w:vertAlign w:val="subscript"/>
              </w:rPr>
              <w:t>N</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vertAlign w:val="subscript"/>
              </w:rPr>
            </w:pPr>
            <w:r w:rsidRPr="004A292E">
              <w:rPr>
                <w:rFonts w:ascii="Arial" w:hAnsi="Arial" w:cs="Arial"/>
                <w:sz w:val="16"/>
                <w:szCs w:val="16"/>
              </w:rPr>
              <w:t>Log.A</w:t>
            </w:r>
            <w:r w:rsidRPr="004A292E">
              <w:rPr>
                <w:rFonts w:ascii="Arial" w:hAnsi="Arial" w:cs="Arial"/>
                <w:sz w:val="16"/>
                <w:szCs w:val="16"/>
                <w:vertAlign w:val="subscript"/>
              </w:rPr>
              <w:t>N</w:t>
            </w:r>
          </w:p>
        </w:tc>
      </w:tr>
      <w:tr w:rsidR="00A27D33" w:rsidRPr="004A292E" w:rsidTr="00A27D33">
        <w:tc>
          <w:tcPr>
            <w:tcW w:w="3897" w:type="dxa"/>
            <w:vMerge/>
            <w:tcBorders>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rPr>
            </w:pPr>
          </w:p>
        </w:tc>
        <w:tc>
          <w:tcPr>
            <w:tcW w:w="3743"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vertAlign w:val="subscript"/>
              </w:rPr>
            </w:pPr>
            <w:r w:rsidRPr="004A292E">
              <w:rPr>
                <w:rFonts w:ascii="Arial" w:hAnsi="Arial" w:cs="Arial"/>
                <w:sz w:val="16"/>
                <w:szCs w:val="16"/>
              </w:rPr>
              <w:t xml:space="preserve">Log. AT </w:t>
            </w:r>
            <w:r w:rsidRPr="004A292E">
              <w:rPr>
                <w:rFonts w:ascii="Arial" w:hAnsi="Arial" w:cs="Arial"/>
                <w:sz w:val="16"/>
                <w:szCs w:val="16"/>
                <w:vertAlign w:val="subscript"/>
              </w:rPr>
              <w:t>(N-1)</w:t>
            </w:r>
          </w:p>
        </w:tc>
        <w:tc>
          <w:tcPr>
            <w:tcW w:w="1074" w:type="dxa"/>
            <w:tcBorders>
              <w:top w:val="single" w:sz="4" w:space="0" w:color="auto"/>
              <w:left w:val="single" w:sz="4" w:space="0" w:color="auto"/>
              <w:bottom w:val="single" w:sz="4" w:space="0" w:color="auto"/>
              <w:right w:val="single" w:sz="4" w:space="0" w:color="auto"/>
            </w:tcBorders>
          </w:tcPr>
          <w:p w:rsidR="00A27D33" w:rsidRPr="004A292E" w:rsidRDefault="00A27D33" w:rsidP="00A27D33">
            <w:pPr>
              <w:spacing w:line="276" w:lineRule="auto"/>
              <w:rPr>
                <w:rFonts w:ascii="Arial" w:hAnsi="Arial" w:cs="Arial"/>
                <w:sz w:val="16"/>
                <w:szCs w:val="16"/>
                <w:vertAlign w:val="subscript"/>
              </w:rPr>
            </w:pPr>
            <w:r w:rsidRPr="004A292E">
              <w:rPr>
                <w:rFonts w:ascii="Arial" w:hAnsi="Arial" w:cs="Arial"/>
                <w:sz w:val="16"/>
                <w:szCs w:val="16"/>
              </w:rPr>
              <w:t>Log.A</w:t>
            </w:r>
            <w:r w:rsidRPr="004A292E">
              <w:rPr>
                <w:rFonts w:ascii="Arial" w:hAnsi="Arial" w:cs="Arial"/>
                <w:sz w:val="16"/>
                <w:szCs w:val="16"/>
                <w:vertAlign w:val="subscript"/>
              </w:rPr>
              <w:t>N-1</w:t>
            </w:r>
          </w:p>
        </w:tc>
      </w:tr>
    </w:tbl>
    <w:p w:rsidR="00A27D33" w:rsidRPr="00A27D33" w:rsidRDefault="009C5C44" w:rsidP="00A27D33">
      <w:pPr>
        <w:pStyle w:val="Prrafodelista"/>
        <w:spacing w:after="0" w:line="240" w:lineRule="auto"/>
        <w:ind w:left="0"/>
        <w:contextualSpacing w:val="0"/>
        <w:jc w:val="both"/>
        <w:rPr>
          <w:rFonts w:ascii="Arial" w:eastAsia="Times New Roman" w:hAnsi="Arial" w:cs="Arial"/>
          <w:sz w:val="18"/>
          <w:szCs w:val="18"/>
          <w:lang w:val="es-ES" w:eastAsia="es-ES"/>
        </w:rPr>
      </w:pPr>
      <w:r w:rsidRPr="009C5C44">
        <w:rPr>
          <w:rFonts w:ascii="Arial" w:eastAsia="Times New Roman" w:hAnsi="Arial" w:cs="Arial"/>
          <w:sz w:val="18"/>
          <w:szCs w:val="18"/>
          <w:lang w:val="es-ES" w:eastAsia="es-ES"/>
        </w:rPr>
        <w:t xml:space="preserve">AT: Activo total. </w:t>
      </w:r>
      <w:proofErr w:type="spellStart"/>
      <w:r w:rsidRPr="009C5C44">
        <w:rPr>
          <w:rFonts w:ascii="Arial" w:eastAsia="Times New Roman" w:hAnsi="Arial" w:cs="Arial"/>
          <w:sz w:val="18"/>
          <w:szCs w:val="18"/>
          <w:lang w:val="es-ES" w:eastAsia="es-ES"/>
        </w:rPr>
        <w:t>Pneto</w:t>
      </w:r>
      <w:proofErr w:type="spellEnd"/>
      <w:r w:rsidRPr="009C5C44">
        <w:rPr>
          <w:rFonts w:ascii="Arial" w:eastAsia="Times New Roman" w:hAnsi="Arial" w:cs="Arial"/>
          <w:sz w:val="18"/>
          <w:szCs w:val="18"/>
          <w:lang w:val="es-ES" w:eastAsia="es-ES"/>
        </w:rPr>
        <w:t>: patrimonio neto. AC: activo corriente. PC: pasivo corriente.</w:t>
      </w:r>
    </w:p>
    <w:p w:rsidR="00A27D33" w:rsidRPr="00A27D33" w:rsidRDefault="009C5C44" w:rsidP="00A27D33">
      <w:pPr>
        <w:pStyle w:val="Prrafodelista"/>
        <w:spacing w:after="0" w:line="240" w:lineRule="auto"/>
        <w:ind w:left="0"/>
        <w:contextualSpacing w:val="0"/>
        <w:jc w:val="both"/>
        <w:rPr>
          <w:rFonts w:ascii="Arial" w:eastAsia="Times New Roman" w:hAnsi="Arial" w:cs="Arial"/>
          <w:sz w:val="18"/>
          <w:szCs w:val="18"/>
          <w:lang w:val="es-ES" w:eastAsia="es-ES"/>
        </w:rPr>
      </w:pPr>
      <w:r w:rsidRPr="009C5C44">
        <w:rPr>
          <w:rFonts w:ascii="Arial" w:eastAsia="Times New Roman" w:hAnsi="Arial" w:cs="Arial"/>
          <w:sz w:val="18"/>
          <w:szCs w:val="18"/>
          <w:lang w:val="es-ES" w:eastAsia="es-ES"/>
        </w:rPr>
        <w:t>Fuente: Elaboración propia.</w:t>
      </w:r>
    </w:p>
    <w:p w:rsidR="00A27D33" w:rsidRPr="00A27D33" w:rsidRDefault="00A27D33" w:rsidP="00A27D33">
      <w:pPr>
        <w:pStyle w:val="Prrafodelista"/>
        <w:spacing w:after="0" w:line="240" w:lineRule="auto"/>
        <w:ind w:left="0"/>
        <w:contextualSpacing w:val="0"/>
        <w:jc w:val="both"/>
        <w:rPr>
          <w:rFonts w:ascii="Arial" w:eastAsia="Times New Roman" w:hAnsi="Arial" w:cs="Arial"/>
          <w:sz w:val="20"/>
          <w:szCs w:val="20"/>
          <w:lang w:val="es-ES" w:eastAsia="es-ES"/>
        </w:rPr>
      </w:pPr>
    </w:p>
    <w:p w:rsidR="00A27D33" w:rsidRPr="00A27D33" w:rsidRDefault="00A27D33" w:rsidP="00A27D33">
      <w:pPr>
        <w:pStyle w:val="Prrafodelista"/>
        <w:spacing w:after="0" w:line="240" w:lineRule="auto"/>
        <w:ind w:left="0" w:firstLine="567"/>
        <w:contextualSpacing w:val="0"/>
        <w:jc w:val="both"/>
        <w:rPr>
          <w:rFonts w:ascii="Arial" w:eastAsia="Times New Roman" w:hAnsi="Arial" w:cs="Arial"/>
          <w:sz w:val="20"/>
          <w:szCs w:val="20"/>
          <w:lang w:val="es-ES" w:eastAsia="es-ES"/>
        </w:rPr>
      </w:pPr>
      <w:r>
        <w:rPr>
          <w:rFonts w:ascii="Arial" w:eastAsia="Times New Roman" w:hAnsi="Arial" w:cs="Arial"/>
          <w:sz w:val="20"/>
          <w:szCs w:val="20"/>
          <w:lang w:val="es-ES" w:eastAsia="es-ES"/>
        </w:rPr>
        <w:t>La</w:t>
      </w:r>
      <w:r w:rsidR="009C5C44" w:rsidRPr="009C5C44">
        <w:rPr>
          <w:rFonts w:ascii="Arial" w:eastAsia="Times New Roman" w:hAnsi="Arial" w:cs="Arial"/>
          <w:sz w:val="20"/>
          <w:szCs w:val="20"/>
          <w:lang w:val="es-ES" w:eastAsia="es-ES"/>
        </w:rPr>
        <w:t xml:space="preserve"> va</w:t>
      </w:r>
      <w:r w:rsidR="002E14E4">
        <w:rPr>
          <w:rFonts w:ascii="Arial" w:eastAsia="Times New Roman" w:hAnsi="Arial" w:cs="Arial"/>
          <w:sz w:val="20"/>
          <w:szCs w:val="20"/>
          <w:lang w:val="es-ES" w:eastAsia="es-ES"/>
        </w:rPr>
        <w:t>riable recogida en el Cuadro 5</w:t>
      </w:r>
      <w:r w:rsidR="009C5C44" w:rsidRPr="009C5C44">
        <w:rPr>
          <w:rFonts w:ascii="Arial" w:eastAsia="Times New Roman" w:hAnsi="Arial" w:cs="Arial"/>
          <w:sz w:val="20"/>
          <w:szCs w:val="20"/>
          <w:lang w:val="es-ES" w:eastAsia="es-ES"/>
        </w:rPr>
        <w:t xml:space="preserve"> </w:t>
      </w:r>
      <w:r>
        <w:rPr>
          <w:rFonts w:ascii="Arial" w:eastAsia="Times New Roman" w:hAnsi="Arial" w:cs="Arial"/>
          <w:sz w:val="20"/>
          <w:szCs w:val="20"/>
          <w:lang w:val="es-ES" w:eastAsia="es-ES"/>
        </w:rPr>
        <w:t xml:space="preserve">relativa </w:t>
      </w:r>
      <w:r w:rsidR="009C5C44" w:rsidRPr="009C5C44">
        <w:rPr>
          <w:rFonts w:ascii="Arial" w:eastAsia="Times New Roman" w:hAnsi="Arial" w:cs="Arial"/>
          <w:sz w:val="20"/>
          <w:szCs w:val="20"/>
          <w:lang w:val="es-ES" w:eastAsia="es-ES"/>
        </w:rPr>
        <w:t xml:space="preserve">a la autofinanciación generada </w:t>
      </w:r>
      <w:r>
        <w:rPr>
          <w:rFonts w:ascii="Arial" w:eastAsia="Times New Roman" w:hAnsi="Arial" w:cs="Arial"/>
          <w:sz w:val="20"/>
          <w:szCs w:val="20"/>
          <w:lang w:val="es-ES" w:eastAsia="es-ES"/>
        </w:rPr>
        <w:t>ha sido expresamente definida</w:t>
      </w:r>
      <w:r w:rsidR="009C5C44" w:rsidRPr="009C5C44">
        <w:rPr>
          <w:rFonts w:ascii="Arial" w:eastAsia="Times New Roman" w:hAnsi="Arial" w:cs="Arial"/>
          <w:sz w:val="20"/>
          <w:szCs w:val="20"/>
          <w:lang w:val="es-ES" w:eastAsia="es-ES"/>
        </w:rPr>
        <w:t xml:space="preserve"> atendiendo a la sustantividad del tipo de entidades de la muestra, sociedades cooperativas agr</w:t>
      </w:r>
      <w:r w:rsidR="00C3115F">
        <w:rPr>
          <w:rFonts w:ascii="Arial" w:eastAsia="Times New Roman" w:hAnsi="Arial" w:cs="Arial"/>
          <w:sz w:val="20"/>
          <w:szCs w:val="20"/>
          <w:lang w:val="es-ES" w:eastAsia="es-ES"/>
        </w:rPr>
        <w:t>oalimentarias</w:t>
      </w:r>
      <w:r>
        <w:rPr>
          <w:rFonts w:ascii="Arial" w:eastAsia="Times New Roman" w:hAnsi="Arial" w:cs="Arial"/>
          <w:sz w:val="20"/>
          <w:szCs w:val="20"/>
          <w:lang w:val="es-ES" w:eastAsia="es-ES"/>
        </w:rPr>
        <w:t xml:space="preserve">. Ésta </w:t>
      </w:r>
      <w:r w:rsidR="009C5C44" w:rsidRPr="009C5C44">
        <w:rPr>
          <w:rFonts w:ascii="Arial" w:eastAsia="Times New Roman" w:hAnsi="Arial" w:cs="Arial"/>
          <w:sz w:val="20"/>
          <w:szCs w:val="20"/>
          <w:lang w:val="es-ES" w:eastAsia="es-ES"/>
        </w:rPr>
        <w:t xml:space="preserve">se ha definido a partir de un flujo de caja económico </w:t>
      </w:r>
      <w:r w:rsidR="009C5C44" w:rsidRPr="009C5C44">
        <w:rPr>
          <w:rFonts w:ascii="Arial" w:eastAsia="Times New Roman" w:hAnsi="Arial" w:cs="Arial"/>
          <w:i/>
          <w:sz w:val="20"/>
          <w:szCs w:val="20"/>
          <w:lang w:val="es-ES" w:eastAsia="es-ES"/>
        </w:rPr>
        <w:t>corregido</w:t>
      </w:r>
      <w:r w:rsidR="009C5C44" w:rsidRPr="009C5C44">
        <w:rPr>
          <w:rFonts w:ascii="Arial" w:eastAsia="Times New Roman" w:hAnsi="Arial" w:cs="Arial"/>
          <w:sz w:val="20"/>
          <w:szCs w:val="20"/>
          <w:lang w:val="es-ES" w:eastAsia="es-ES"/>
        </w:rPr>
        <w:t xml:space="preserve"> que añade al flujo de caja económico (resultado + amortizaciones) las adquisiciones realizadas a los socios por los productos entregados a la cooperativa (aprovisionamientos).</w:t>
      </w:r>
    </w:p>
    <w:p w:rsidR="00A27D33" w:rsidRDefault="00A27D33" w:rsidP="00A27D33">
      <w:pPr>
        <w:pStyle w:val="Prrafodelista"/>
        <w:spacing w:after="0" w:line="240" w:lineRule="auto"/>
        <w:ind w:left="0" w:firstLine="567"/>
        <w:contextualSpacing w:val="0"/>
        <w:jc w:val="both"/>
        <w:rPr>
          <w:rFonts w:ascii="Arial" w:eastAsia="Times New Roman" w:hAnsi="Arial" w:cs="Arial"/>
          <w:sz w:val="20"/>
          <w:szCs w:val="20"/>
          <w:lang w:val="es-ES" w:eastAsia="es-ES"/>
        </w:rPr>
      </w:pPr>
    </w:p>
    <w:p w:rsidR="00A27D33" w:rsidRDefault="009C5C44" w:rsidP="00A27D33">
      <w:pPr>
        <w:pStyle w:val="Prrafodelista"/>
        <w:spacing w:after="0" w:line="240" w:lineRule="auto"/>
        <w:ind w:left="0" w:firstLine="567"/>
        <w:contextualSpacing w:val="0"/>
        <w:jc w:val="both"/>
        <w:rPr>
          <w:rFonts w:ascii="Arial" w:hAnsi="Arial" w:cs="Arial"/>
          <w:sz w:val="20"/>
          <w:szCs w:val="20"/>
        </w:rPr>
      </w:pPr>
      <w:r w:rsidRPr="009C5C44">
        <w:rPr>
          <w:rFonts w:ascii="Arial" w:eastAsia="Times New Roman" w:hAnsi="Arial" w:cs="Arial"/>
          <w:sz w:val="20"/>
          <w:szCs w:val="20"/>
          <w:lang w:val="es-ES" w:eastAsia="es-ES"/>
        </w:rPr>
        <w:t xml:space="preserve">Como ya se ha señalado, la práctica habitual de las cooperativas agrarias de primar la maximización de los precios liquidados a sus socios por encima de la generación de beneficios, introduce particularidades en la interpretación de la información recogida en su cuenta de pérdidas y ganancias. Suele ser habitual que estas entidades utilicen esta estrategia de liquidación como forma de distribuir los excedentes cooperativos reales de forma encubierta, tratando así de obtener un beneficio contable mínimo (o incluso nulo) que evite una mayor presión fiscal o mayores exigencias en la dotación de sus fondos obligatorios. Por este motivo, todas las variables que utilicen información relativa a resultados contables deberían ser </w:t>
      </w:r>
      <w:r w:rsidRPr="009C5C44">
        <w:rPr>
          <w:rFonts w:ascii="Arial" w:hAnsi="Arial" w:cs="Arial"/>
          <w:sz w:val="20"/>
          <w:szCs w:val="20"/>
        </w:rPr>
        <w:t xml:space="preserve">modificadas calculando una ganancia neta </w:t>
      </w:r>
      <w:r w:rsidRPr="009C5C44">
        <w:rPr>
          <w:rFonts w:ascii="Arial" w:hAnsi="Arial" w:cs="Arial"/>
          <w:i/>
          <w:sz w:val="20"/>
          <w:szCs w:val="20"/>
        </w:rPr>
        <w:t>corregida</w:t>
      </w:r>
      <w:r w:rsidRPr="009C5C44">
        <w:rPr>
          <w:rFonts w:ascii="Arial" w:hAnsi="Arial" w:cs="Arial"/>
          <w:sz w:val="20"/>
          <w:szCs w:val="20"/>
        </w:rPr>
        <w:t xml:space="preserve">, que se elabore atendiendo a criterios de mercado y no de liquidación a los socios </w:t>
      </w:r>
      <w:r w:rsidRPr="009C5C44">
        <w:rPr>
          <w:rFonts w:ascii="Arial" w:eastAsia="Times New Roman" w:hAnsi="Arial" w:cs="Arial"/>
          <w:sz w:val="20"/>
          <w:szCs w:val="20"/>
          <w:lang w:val="es-ES" w:eastAsia="es-ES"/>
        </w:rPr>
        <w:t xml:space="preserve">(Gómez-Limón </w:t>
      </w:r>
      <w:r w:rsidRPr="009C5C44">
        <w:rPr>
          <w:rFonts w:ascii="Arial" w:eastAsia="Times New Roman" w:hAnsi="Arial" w:cs="Arial"/>
          <w:i/>
          <w:sz w:val="20"/>
          <w:szCs w:val="20"/>
          <w:lang w:val="es-ES" w:eastAsia="es-ES"/>
        </w:rPr>
        <w:t>et al.,</w:t>
      </w:r>
      <w:r w:rsidR="00A27D33" w:rsidRPr="00A27D33">
        <w:rPr>
          <w:rFonts w:ascii="Arial" w:eastAsia="Times New Roman" w:hAnsi="Arial" w:cs="Arial"/>
          <w:sz w:val="20"/>
          <w:szCs w:val="20"/>
          <w:lang w:val="es-ES" w:eastAsia="es-ES"/>
        </w:rPr>
        <w:t xml:space="preserve"> 2003)</w:t>
      </w:r>
      <w:r w:rsidR="00A27D33" w:rsidRPr="00A27D33">
        <w:rPr>
          <w:rFonts w:ascii="Arial" w:hAnsi="Arial" w:cs="Arial"/>
          <w:sz w:val="20"/>
          <w:szCs w:val="20"/>
        </w:rPr>
        <w:t>. No obstante en este caso s</w:t>
      </w:r>
      <w:r w:rsidRPr="009C5C44">
        <w:rPr>
          <w:rFonts w:ascii="Arial" w:hAnsi="Arial" w:cs="Arial"/>
          <w:sz w:val="20"/>
          <w:szCs w:val="20"/>
        </w:rPr>
        <w:t>e ha desestimado esta posibilidad por la dificultad que entraña realizar esta corrección a partir únicamente de la información contable de estas entidades</w:t>
      </w:r>
      <w:r w:rsidR="00A27D33" w:rsidRPr="00A27D33">
        <w:rPr>
          <w:rStyle w:val="Refdenotaalpie"/>
          <w:rFonts w:ascii="Arial" w:hAnsi="Arial" w:cs="Arial"/>
          <w:sz w:val="20"/>
          <w:szCs w:val="20"/>
        </w:rPr>
        <w:footnoteReference w:id="3"/>
      </w:r>
      <w:r w:rsidRPr="009C5C44">
        <w:rPr>
          <w:rFonts w:ascii="Arial" w:hAnsi="Arial" w:cs="Arial"/>
          <w:sz w:val="20"/>
          <w:szCs w:val="20"/>
        </w:rPr>
        <w:t xml:space="preserve"> y porque el diferencial de precios pagado por cada cooperativa es diferente para cada uno de los diversos productos de las </w:t>
      </w:r>
      <w:r w:rsidRPr="009C5C44">
        <w:rPr>
          <w:rFonts w:ascii="Arial" w:hAnsi="Arial" w:cs="Arial"/>
          <w:sz w:val="20"/>
          <w:szCs w:val="20"/>
        </w:rPr>
        <w:lastRenderedPageBreak/>
        <w:t xml:space="preserve">entidades de la muestra, lo que podría dar lugar a resultados anómalos e irreales de esta variable. </w:t>
      </w:r>
    </w:p>
    <w:p w:rsidR="00A27D33" w:rsidRPr="00A27D33" w:rsidRDefault="00A27D33" w:rsidP="00A27D33">
      <w:pPr>
        <w:pStyle w:val="Prrafodelista"/>
        <w:spacing w:after="0" w:line="240" w:lineRule="auto"/>
        <w:ind w:left="0" w:firstLine="567"/>
        <w:contextualSpacing w:val="0"/>
        <w:jc w:val="both"/>
        <w:rPr>
          <w:rFonts w:ascii="Arial" w:hAnsi="Arial" w:cs="Arial"/>
          <w:sz w:val="20"/>
          <w:szCs w:val="20"/>
        </w:rPr>
      </w:pPr>
    </w:p>
    <w:p w:rsidR="00A27D33" w:rsidRDefault="009C5C44" w:rsidP="00A27D33">
      <w:pPr>
        <w:pStyle w:val="Prrafodelista"/>
        <w:spacing w:after="0" w:line="240" w:lineRule="auto"/>
        <w:ind w:left="0" w:firstLine="567"/>
        <w:contextualSpacing w:val="0"/>
        <w:jc w:val="both"/>
        <w:rPr>
          <w:rFonts w:ascii="Arial" w:hAnsi="Arial" w:cs="Arial"/>
          <w:sz w:val="20"/>
          <w:szCs w:val="20"/>
        </w:rPr>
      </w:pPr>
      <w:r w:rsidRPr="009C5C44">
        <w:rPr>
          <w:rFonts w:ascii="Arial" w:hAnsi="Arial" w:cs="Arial"/>
          <w:sz w:val="20"/>
          <w:szCs w:val="20"/>
        </w:rPr>
        <w:t>Según la normativa contable sustantiva</w:t>
      </w:r>
      <w:r w:rsidR="00A27D33" w:rsidRPr="00A27D33">
        <w:rPr>
          <w:rStyle w:val="Refdenotaalpie"/>
          <w:rFonts w:ascii="Arial" w:hAnsi="Arial" w:cs="Arial"/>
          <w:sz w:val="20"/>
          <w:szCs w:val="20"/>
        </w:rPr>
        <w:footnoteReference w:id="4"/>
      </w:r>
      <w:r w:rsidRPr="009C5C44">
        <w:rPr>
          <w:rFonts w:ascii="Arial" w:hAnsi="Arial" w:cs="Arial"/>
          <w:sz w:val="20"/>
          <w:szCs w:val="20"/>
        </w:rPr>
        <w:t xml:space="preserve"> dichas liquidaciones a los socios se valoran por su precio de adquisición, es decir, el importe pagado o pendiente de pago por la cooperativa y se recogen en la partida de </w:t>
      </w:r>
      <w:r w:rsidRPr="009C5C44">
        <w:rPr>
          <w:rFonts w:ascii="Arial" w:hAnsi="Arial" w:cs="Arial"/>
          <w:i/>
          <w:sz w:val="20"/>
          <w:szCs w:val="20"/>
        </w:rPr>
        <w:t>Aprovisionamientos</w:t>
      </w:r>
      <w:r w:rsidRPr="009C5C44">
        <w:rPr>
          <w:rFonts w:ascii="Arial" w:hAnsi="Arial" w:cs="Arial"/>
          <w:sz w:val="20"/>
          <w:szCs w:val="20"/>
        </w:rPr>
        <w:t xml:space="preserve"> del resultado de explotación de la cuenta de pérdidas y ganancias, donde se creará un epígrafe específico con la denominación </w:t>
      </w:r>
      <w:r w:rsidRPr="009C5C44">
        <w:rPr>
          <w:rFonts w:ascii="Arial" w:hAnsi="Arial" w:cs="Arial"/>
          <w:i/>
          <w:sz w:val="20"/>
          <w:szCs w:val="20"/>
        </w:rPr>
        <w:t>“Consumos de existencias de socios”</w:t>
      </w:r>
      <w:r w:rsidRPr="009C5C44">
        <w:rPr>
          <w:rFonts w:ascii="Arial" w:hAnsi="Arial" w:cs="Arial"/>
          <w:sz w:val="20"/>
          <w:szCs w:val="20"/>
        </w:rPr>
        <w:t xml:space="preserve">. No obstante, dado que la información disponible en la base de datos es ciertamente limitada en este sentido y no contempla las adaptaciones formales de los estados financieros de las cooperativas, se ha tenido que recurrir a una corrección de la ganancia neta a través de toda la partida de </w:t>
      </w:r>
      <w:r w:rsidRPr="009C5C44">
        <w:rPr>
          <w:rFonts w:ascii="Arial" w:hAnsi="Arial" w:cs="Arial"/>
          <w:i/>
          <w:sz w:val="20"/>
          <w:szCs w:val="20"/>
        </w:rPr>
        <w:t>Aprovisionamientos</w:t>
      </w:r>
      <w:r w:rsidRPr="009C5C44">
        <w:rPr>
          <w:rFonts w:ascii="Arial" w:hAnsi="Arial" w:cs="Arial"/>
          <w:sz w:val="20"/>
          <w:szCs w:val="20"/>
        </w:rPr>
        <w:t>, asumiendo no obstante que la misma representa una combinación de coste de aprovisionamiento real y reparto de beneficios vía precios de liquidación.</w:t>
      </w:r>
    </w:p>
    <w:p w:rsidR="00C3115F" w:rsidRDefault="00C3115F" w:rsidP="00A27D33">
      <w:pPr>
        <w:pStyle w:val="Prrafodelista"/>
        <w:spacing w:after="0" w:line="240" w:lineRule="auto"/>
        <w:ind w:left="0" w:firstLine="567"/>
        <w:contextualSpacing w:val="0"/>
        <w:jc w:val="both"/>
        <w:rPr>
          <w:rFonts w:ascii="Arial" w:hAnsi="Arial" w:cs="Arial"/>
          <w:sz w:val="20"/>
          <w:szCs w:val="20"/>
        </w:rPr>
      </w:pPr>
    </w:p>
    <w:p w:rsidR="00C3115F" w:rsidRPr="00A27D33" w:rsidRDefault="00C3115F" w:rsidP="00A27D33">
      <w:pPr>
        <w:pStyle w:val="Prrafodelista"/>
        <w:spacing w:after="0" w:line="240" w:lineRule="auto"/>
        <w:ind w:left="0" w:firstLine="567"/>
        <w:contextualSpacing w:val="0"/>
        <w:jc w:val="both"/>
        <w:rPr>
          <w:rFonts w:ascii="Arial" w:hAnsi="Arial" w:cs="Arial"/>
          <w:sz w:val="20"/>
          <w:szCs w:val="20"/>
        </w:rPr>
      </w:pPr>
      <w:r w:rsidRPr="002E14E4">
        <w:rPr>
          <w:rFonts w:ascii="Arial" w:hAnsi="Arial" w:cs="Arial"/>
          <w:sz w:val="20"/>
          <w:szCs w:val="20"/>
        </w:rPr>
        <w:t>Si bien no se va a contemplar en el modelo de regresión la evaluación de las posibles relaciones existentes entre endeudamiento y eficiencia empresarial, sí se ha considerado conveniente introducir como variable independiente la rotación del activo total (</w:t>
      </w:r>
      <w:proofErr w:type="spellStart"/>
      <w:r w:rsidRPr="002E14E4">
        <w:rPr>
          <w:rFonts w:ascii="Arial" w:hAnsi="Arial" w:cs="Arial"/>
          <w:sz w:val="20"/>
          <w:szCs w:val="20"/>
        </w:rPr>
        <w:t>Rot.A</w:t>
      </w:r>
      <w:proofErr w:type="spellEnd"/>
      <w:r w:rsidRPr="002E14E4">
        <w:rPr>
          <w:rFonts w:ascii="Arial" w:hAnsi="Arial" w:cs="Arial"/>
          <w:sz w:val="20"/>
          <w:szCs w:val="20"/>
        </w:rPr>
        <w:t>), definida como el cociente entre las ventas y el activo total de la entidad, con objeto de obtener posibles relaciones entre el nivel y la composición del endeudamiento y la productividad de las inversiones en activos.</w:t>
      </w:r>
      <w:r>
        <w:rPr>
          <w:rFonts w:ascii="Arial" w:hAnsi="Arial" w:cs="Arial"/>
          <w:sz w:val="20"/>
          <w:szCs w:val="20"/>
        </w:rPr>
        <w:t xml:space="preserve"> </w:t>
      </w:r>
    </w:p>
    <w:p w:rsidR="00A27D33" w:rsidRPr="00A27D33" w:rsidRDefault="00A27D33" w:rsidP="00A27D33">
      <w:pPr>
        <w:pStyle w:val="Prrafodelista"/>
        <w:spacing w:after="0" w:line="240" w:lineRule="auto"/>
        <w:ind w:left="0"/>
        <w:contextualSpacing w:val="0"/>
        <w:jc w:val="both"/>
        <w:rPr>
          <w:rFonts w:ascii="Arial" w:eastAsia="Times New Roman" w:hAnsi="Arial" w:cs="Arial"/>
          <w:sz w:val="20"/>
          <w:szCs w:val="20"/>
          <w:lang w:val="es-ES" w:eastAsia="es-ES"/>
        </w:rPr>
      </w:pPr>
    </w:p>
    <w:p w:rsidR="00A27D33" w:rsidRDefault="00A27D33" w:rsidP="00A27D33">
      <w:pPr>
        <w:pStyle w:val="Ttulo2"/>
        <w:numPr>
          <w:ilvl w:val="1"/>
          <w:numId w:val="2"/>
        </w:numPr>
        <w:spacing w:before="0" w:after="0"/>
        <w:ind w:left="993" w:hanging="426"/>
        <w:rPr>
          <w:rFonts w:ascii="Arial" w:hAnsi="Arial" w:cs="Arial"/>
          <w:sz w:val="20"/>
          <w:szCs w:val="20"/>
        </w:rPr>
      </w:pPr>
      <w:r>
        <w:rPr>
          <w:rFonts w:ascii="Arial" w:hAnsi="Arial" w:cs="Arial"/>
          <w:sz w:val="20"/>
          <w:szCs w:val="20"/>
        </w:rPr>
        <w:t>Resultados</w:t>
      </w:r>
    </w:p>
    <w:p w:rsidR="002E14E4" w:rsidRPr="002E14E4" w:rsidRDefault="002E14E4" w:rsidP="002E14E4">
      <w:pPr>
        <w:pStyle w:val="Textoindependiente"/>
        <w:spacing w:before="0" w:after="0"/>
      </w:pPr>
    </w:p>
    <w:p w:rsidR="00CB4949" w:rsidRPr="00CB4949" w:rsidRDefault="009C5C44" w:rsidP="00CB4949">
      <w:pPr>
        <w:ind w:firstLine="567"/>
        <w:jc w:val="both"/>
        <w:rPr>
          <w:rFonts w:ascii="Arial" w:eastAsia="Times New Roman" w:hAnsi="Arial" w:cs="Arial"/>
          <w:sz w:val="20"/>
          <w:szCs w:val="20"/>
          <w:lang w:val="es-ES"/>
        </w:rPr>
      </w:pPr>
      <w:r w:rsidRPr="009C5C44">
        <w:rPr>
          <w:rFonts w:ascii="Arial" w:eastAsia="Times New Roman" w:hAnsi="Arial" w:cs="Arial"/>
          <w:sz w:val="20"/>
          <w:szCs w:val="20"/>
          <w:lang w:val="es-ES"/>
        </w:rPr>
        <w:t>Utilizando las variables independientes previamente definidas en ba</w:t>
      </w:r>
      <w:r w:rsidR="00770542">
        <w:rPr>
          <w:rFonts w:ascii="Arial" w:eastAsia="Times New Roman" w:hAnsi="Arial" w:cs="Arial"/>
          <w:sz w:val="20"/>
          <w:szCs w:val="20"/>
          <w:lang w:val="es-ES"/>
        </w:rPr>
        <w:t>se al marco teórico</w:t>
      </w:r>
      <w:r w:rsidR="00CB4949">
        <w:rPr>
          <w:rFonts w:ascii="Arial" w:eastAsia="Times New Roman" w:hAnsi="Arial" w:cs="Arial"/>
          <w:sz w:val="20"/>
          <w:szCs w:val="20"/>
          <w:lang w:val="es-ES"/>
        </w:rPr>
        <w:t xml:space="preserve"> (Cuadro 4</w:t>
      </w:r>
      <w:r w:rsidRPr="009C5C44">
        <w:rPr>
          <w:rFonts w:ascii="Arial" w:eastAsia="Times New Roman" w:hAnsi="Arial" w:cs="Arial"/>
          <w:sz w:val="20"/>
          <w:szCs w:val="20"/>
          <w:lang w:val="es-ES"/>
        </w:rPr>
        <w:t xml:space="preserve">), se han realizado tres análisis de regresión lineal múltiple mediante pasos sucesivos, definiendo como variable dependiente en cada uno de ellos el endeudamiento, el endeudamiento a corto plazo y el endeudamiento a largo plazo respectivamente. </w:t>
      </w:r>
    </w:p>
    <w:p w:rsidR="00CB4949" w:rsidRDefault="00CB4949" w:rsidP="00CB4949">
      <w:pPr>
        <w:jc w:val="both"/>
        <w:rPr>
          <w:rFonts w:ascii="Arial" w:eastAsia="Times New Roman" w:hAnsi="Arial" w:cs="Arial"/>
          <w:sz w:val="20"/>
          <w:szCs w:val="20"/>
          <w:lang w:val="es-ES"/>
        </w:rPr>
      </w:pPr>
    </w:p>
    <w:p w:rsidR="00CB4949" w:rsidRPr="00CB4949" w:rsidRDefault="009C5C44" w:rsidP="00CB4949">
      <w:pPr>
        <w:ind w:firstLine="567"/>
        <w:jc w:val="both"/>
        <w:rPr>
          <w:rFonts w:ascii="Arial" w:eastAsia="Times New Roman" w:hAnsi="Arial" w:cs="Arial"/>
          <w:sz w:val="20"/>
          <w:szCs w:val="20"/>
          <w:lang w:val="es-ES"/>
        </w:rPr>
      </w:pPr>
      <w:r w:rsidRPr="009C5C44">
        <w:rPr>
          <w:rFonts w:ascii="Arial" w:eastAsia="Times New Roman" w:hAnsi="Arial" w:cs="Arial"/>
          <w:sz w:val="20"/>
          <w:szCs w:val="20"/>
          <w:lang w:val="es-ES"/>
        </w:rPr>
        <w:t>El análisis de regresión lineal múltiple se ha realizado</w:t>
      </w:r>
      <w:r w:rsidR="00CB4949" w:rsidRPr="002E14E4">
        <w:rPr>
          <w:rFonts w:ascii="Arial" w:eastAsia="Times New Roman" w:hAnsi="Arial" w:cs="Arial"/>
          <w:sz w:val="20"/>
          <w:szCs w:val="20"/>
          <w:lang w:val="es-ES"/>
        </w:rPr>
        <w:t xml:space="preserve"> </w:t>
      </w:r>
      <w:r w:rsidRPr="009C5C44">
        <w:rPr>
          <w:rFonts w:ascii="Arial" w:eastAsia="Times New Roman" w:hAnsi="Arial" w:cs="Arial"/>
          <w:sz w:val="20"/>
          <w:szCs w:val="20"/>
          <w:lang w:val="es-ES"/>
        </w:rPr>
        <w:t xml:space="preserve">sobre la muestra de </w:t>
      </w:r>
      <w:r w:rsidR="00CB4949" w:rsidRPr="002E14E4">
        <w:rPr>
          <w:rFonts w:ascii="Arial" w:eastAsia="Times New Roman" w:hAnsi="Arial" w:cs="Arial"/>
          <w:sz w:val="20"/>
          <w:szCs w:val="20"/>
          <w:lang w:val="es-ES"/>
        </w:rPr>
        <w:t xml:space="preserve">las </w:t>
      </w:r>
      <w:r w:rsidRPr="009C5C44">
        <w:rPr>
          <w:rFonts w:ascii="Arial" w:eastAsia="Times New Roman" w:hAnsi="Arial" w:cs="Arial"/>
          <w:sz w:val="20"/>
          <w:szCs w:val="20"/>
          <w:lang w:val="es-ES"/>
        </w:rPr>
        <w:t>1</w:t>
      </w:r>
      <w:r w:rsidR="00E8671E" w:rsidRPr="002E14E4">
        <w:rPr>
          <w:rFonts w:ascii="Arial" w:eastAsia="Times New Roman" w:hAnsi="Arial" w:cs="Arial"/>
          <w:sz w:val="20"/>
          <w:szCs w:val="20"/>
          <w:lang w:val="es-ES"/>
        </w:rPr>
        <w:t>81 cooperativas agroalimentarias</w:t>
      </w:r>
      <w:r w:rsidRPr="009C5C44">
        <w:rPr>
          <w:rFonts w:ascii="Arial" w:eastAsia="Times New Roman" w:hAnsi="Arial" w:cs="Arial"/>
          <w:sz w:val="20"/>
          <w:szCs w:val="20"/>
          <w:lang w:val="es-ES"/>
        </w:rPr>
        <w:t xml:space="preserve"> españolas</w:t>
      </w:r>
      <w:r w:rsidR="00CB4949" w:rsidRPr="002E14E4">
        <w:rPr>
          <w:rFonts w:ascii="Arial" w:eastAsia="Times New Roman" w:hAnsi="Arial" w:cs="Arial"/>
          <w:sz w:val="20"/>
          <w:szCs w:val="20"/>
          <w:lang w:val="es-ES"/>
        </w:rPr>
        <w:t xml:space="preserve"> del año 2009</w:t>
      </w:r>
      <w:r w:rsidRPr="009C5C44">
        <w:rPr>
          <w:rFonts w:ascii="Arial" w:eastAsia="Times New Roman" w:hAnsi="Arial" w:cs="Arial"/>
          <w:sz w:val="20"/>
          <w:szCs w:val="20"/>
          <w:lang w:val="es-ES"/>
        </w:rPr>
        <w:t>, debiendo eliminar en algunos casos determinadas entidades que mostraban datos anómalos en alguna de las variables seleccionadas, debido posiblemente a la calidad de la fuente de información.</w:t>
      </w:r>
    </w:p>
    <w:p w:rsidR="00CB4949" w:rsidRDefault="00CB4949" w:rsidP="00CB4949">
      <w:pPr>
        <w:ind w:firstLine="567"/>
        <w:jc w:val="both"/>
        <w:rPr>
          <w:rFonts w:ascii="Arial" w:eastAsia="Times New Roman" w:hAnsi="Arial" w:cs="Arial"/>
          <w:sz w:val="20"/>
          <w:szCs w:val="20"/>
          <w:lang w:val="es-ES"/>
        </w:rPr>
      </w:pPr>
    </w:p>
    <w:p w:rsidR="00CB4949" w:rsidRDefault="009C5C44" w:rsidP="00CB4949">
      <w:pPr>
        <w:ind w:firstLine="567"/>
        <w:jc w:val="both"/>
        <w:rPr>
          <w:rFonts w:ascii="Arial" w:eastAsia="Times New Roman" w:hAnsi="Arial" w:cs="Arial"/>
          <w:sz w:val="20"/>
          <w:szCs w:val="20"/>
          <w:lang w:val="es-ES"/>
        </w:rPr>
      </w:pPr>
      <w:r w:rsidRPr="009C5C44">
        <w:rPr>
          <w:rFonts w:ascii="Arial" w:eastAsia="Times New Roman" w:hAnsi="Arial" w:cs="Arial"/>
          <w:sz w:val="20"/>
          <w:szCs w:val="20"/>
          <w:lang w:val="es-ES"/>
        </w:rPr>
        <w:t>Los tres análisis obtenidos han resultado significativos en la prueba del análisis de varianza (ANOVA), validando los resu</w:t>
      </w:r>
      <w:r w:rsidR="002E14E4">
        <w:rPr>
          <w:rFonts w:ascii="Arial" w:eastAsia="Times New Roman" w:hAnsi="Arial" w:cs="Arial"/>
          <w:sz w:val="20"/>
          <w:szCs w:val="20"/>
          <w:lang w:val="es-ES"/>
        </w:rPr>
        <w:t>ltados de la regresión (Cuadro 6</w:t>
      </w:r>
      <w:r w:rsidRPr="009C5C44">
        <w:rPr>
          <w:rFonts w:ascii="Arial" w:eastAsia="Times New Roman" w:hAnsi="Arial" w:cs="Arial"/>
          <w:sz w:val="20"/>
          <w:szCs w:val="20"/>
          <w:lang w:val="es-ES"/>
        </w:rPr>
        <w:t>).</w:t>
      </w:r>
    </w:p>
    <w:p w:rsidR="00770542" w:rsidRDefault="00770542" w:rsidP="00A95645">
      <w:pPr>
        <w:ind w:firstLine="567"/>
        <w:jc w:val="both"/>
        <w:rPr>
          <w:rFonts w:ascii="Arial" w:eastAsia="Times New Roman" w:hAnsi="Arial" w:cs="Arial"/>
          <w:sz w:val="20"/>
          <w:szCs w:val="20"/>
          <w:lang w:val="es-ES"/>
        </w:rPr>
      </w:pPr>
    </w:p>
    <w:p w:rsidR="00770542" w:rsidRPr="00770542" w:rsidRDefault="002E14E4" w:rsidP="00A95645">
      <w:pPr>
        <w:pStyle w:val="Numeracindetablasyfiguras"/>
        <w:spacing w:before="0"/>
        <w:ind w:firstLine="1"/>
        <w:rPr>
          <w:rFonts w:ascii="Arial" w:hAnsi="Arial"/>
          <w:szCs w:val="20"/>
        </w:rPr>
      </w:pPr>
      <w:r>
        <w:rPr>
          <w:rFonts w:ascii="Arial" w:hAnsi="Arial"/>
          <w:szCs w:val="20"/>
        </w:rPr>
        <w:t>CUADRO 6</w:t>
      </w:r>
    </w:p>
    <w:tbl>
      <w:tblPr>
        <w:tblW w:w="12938" w:type="dxa"/>
        <w:tblInd w:w="-2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1419"/>
        <w:gridCol w:w="1559"/>
        <w:gridCol w:w="284"/>
        <w:gridCol w:w="991"/>
        <w:gridCol w:w="992"/>
        <w:gridCol w:w="426"/>
        <w:gridCol w:w="992"/>
        <w:gridCol w:w="850"/>
        <w:gridCol w:w="567"/>
        <w:gridCol w:w="567"/>
        <w:gridCol w:w="567"/>
        <w:gridCol w:w="284"/>
        <w:gridCol w:w="3440"/>
      </w:tblGrid>
      <w:tr w:rsidR="00770542" w:rsidRPr="004A292E" w:rsidTr="00A95645">
        <w:trPr>
          <w:cantSplit/>
          <w:tblHeader/>
        </w:trPr>
        <w:tc>
          <w:tcPr>
            <w:tcW w:w="9214" w:type="dxa"/>
            <w:gridSpan w:val="11"/>
            <w:tcBorders>
              <w:top w:val="nil"/>
              <w:left w:val="nil"/>
              <w:bottom w:val="nil"/>
              <w:right w:val="nil"/>
            </w:tcBorders>
            <w:shd w:val="clear" w:color="auto" w:fill="FFFFFF"/>
          </w:tcPr>
          <w:p w:rsidR="00770542" w:rsidRPr="004A292E" w:rsidRDefault="00A95645" w:rsidP="00A95645">
            <w:pPr>
              <w:autoSpaceDE w:val="0"/>
              <w:autoSpaceDN w:val="0"/>
              <w:adjustRightInd w:val="0"/>
              <w:ind w:right="537"/>
              <w:jc w:val="center"/>
              <w:rPr>
                <w:rFonts w:ascii="Arial" w:hAnsi="Arial"/>
                <w:bCs/>
                <w:sz w:val="16"/>
                <w:szCs w:val="16"/>
              </w:rPr>
            </w:pPr>
            <w:r w:rsidRPr="004A292E">
              <w:rPr>
                <w:rFonts w:ascii="Arial" w:hAnsi="Arial"/>
                <w:bCs/>
                <w:sz w:val="16"/>
                <w:szCs w:val="16"/>
              </w:rPr>
              <w:t xml:space="preserve">       </w:t>
            </w:r>
            <w:r w:rsidR="00770542" w:rsidRPr="004A292E">
              <w:rPr>
                <w:rFonts w:ascii="Arial" w:hAnsi="Arial"/>
                <w:bCs/>
                <w:sz w:val="16"/>
                <w:szCs w:val="16"/>
              </w:rPr>
              <w:t>ANOVA</w:t>
            </w:r>
          </w:p>
        </w:tc>
        <w:tc>
          <w:tcPr>
            <w:tcW w:w="3724" w:type="dxa"/>
            <w:gridSpan w:val="2"/>
            <w:tcBorders>
              <w:top w:val="nil"/>
              <w:left w:val="nil"/>
              <w:bottom w:val="nil"/>
              <w:right w:val="nil"/>
            </w:tcBorders>
            <w:shd w:val="clear" w:color="auto" w:fill="FFFFFF"/>
          </w:tcPr>
          <w:p w:rsidR="00770542" w:rsidRPr="004A292E" w:rsidRDefault="00770542" w:rsidP="00A95645">
            <w:pPr>
              <w:autoSpaceDE w:val="0"/>
              <w:autoSpaceDN w:val="0"/>
              <w:adjustRightInd w:val="0"/>
              <w:ind w:firstLine="1"/>
              <w:jc w:val="center"/>
              <w:rPr>
                <w:rFonts w:ascii="Arial" w:hAnsi="Arial" w:cs="Times New Roman"/>
                <w:bCs/>
                <w:sz w:val="16"/>
                <w:szCs w:val="16"/>
              </w:rPr>
            </w:pPr>
          </w:p>
        </w:tc>
      </w:tr>
      <w:tr w:rsidR="00770542" w:rsidRPr="004A292E" w:rsidTr="00A95645">
        <w:trPr>
          <w:gridAfter w:val="1"/>
          <w:wAfter w:w="3440" w:type="dxa"/>
          <w:cantSplit/>
          <w:tblHeader/>
        </w:trPr>
        <w:tc>
          <w:tcPr>
            <w:tcW w:w="141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770542" w:rsidRPr="004A292E" w:rsidRDefault="00770542" w:rsidP="00770542">
            <w:pPr>
              <w:jc w:val="center"/>
              <w:rPr>
                <w:rFonts w:ascii="Arial" w:hAnsi="Arial" w:cs="Arial"/>
                <w:b/>
                <w:sz w:val="16"/>
                <w:szCs w:val="16"/>
              </w:rPr>
            </w:pPr>
            <w:r w:rsidRPr="004A292E">
              <w:rPr>
                <w:rFonts w:ascii="Arial" w:hAnsi="Arial" w:cs="Arial"/>
                <w:b/>
                <w:sz w:val="16"/>
                <w:szCs w:val="16"/>
              </w:rPr>
              <w:t>Variable dependiente</w:t>
            </w:r>
          </w:p>
        </w:tc>
        <w:tc>
          <w:tcPr>
            <w:tcW w:w="155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770542" w:rsidRPr="004A292E" w:rsidRDefault="00770542" w:rsidP="00770542">
            <w:pPr>
              <w:autoSpaceDE w:val="0"/>
              <w:autoSpaceDN w:val="0"/>
              <w:adjustRightInd w:val="0"/>
              <w:jc w:val="center"/>
              <w:rPr>
                <w:rFonts w:ascii="Arial" w:hAnsi="Arial" w:cs="Arial"/>
                <w:b/>
                <w:sz w:val="16"/>
                <w:szCs w:val="16"/>
              </w:rPr>
            </w:pPr>
            <w:r w:rsidRPr="004A292E">
              <w:rPr>
                <w:rFonts w:ascii="Arial" w:hAnsi="Arial" w:cs="Arial"/>
                <w:b/>
                <w:sz w:val="16"/>
                <w:szCs w:val="16"/>
              </w:rPr>
              <w:t xml:space="preserve">Variables </w:t>
            </w:r>
            <w:proofErr w:type="spellStart"/>
            <w:r w:rsidRPr="004A292E">
              <w:rPr>
                <w:rFonts w:ascii="Arial" w:hAnsi="Arial" w:cs="Arial"/>
                <w:b/>
                <w:sz w:val="16"/>
                <w:szCs w:val="16"/>
              </w:rPr>
              <w:t>predictoras</w:t>
            </w:r>
            <w:proofErr w:type="spellEnd"/>
          </w:p>
        </w:tc>
        <w:tc>
          <w:tcPr>
            <w:tcW w:w="1275" w:type="dxa"/>
            <w:gridSpan w:val="2"/>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center"/>
              <w:rPr>
                <w:rFonts w:ascii="Arial" w:hAnsi="Arial" w:cs="Arial"/>
                <w:b/>
                <w:sz w:val="16"/>
                <w:szCs w:val="16"/>
              </w:rPr>
            </w:pPr>
            <w:r w:rsidRPr="004A292E">
              <w:rPr>
                <w:rFonts w:ascii="Arial" w:hAnsi="Arial" w:cs="Arial"/>
                <w:b/>
                <w:sz w:val="16"/>
                <w:szCs w:val="16"/>
              </w:rPr>
              <w:t>Modelo</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center"/>
              <w:rPr>
                <w:rFonts w:ascii="Arial" w:hAnsi="Arial" w:cs="Arial"/>
                <w:b/>
                <w:sz w:val="16"/>
                <w:szCs w:val="16"/>
              </w:rPr>
            </w:pPr>
            <w:r w:rsidRPr="004A292E">
              <w:rPr>
                <w:rFonts w:ascii="Arial" w:hAnsi="Arial" w:cs="Arial"/>
                <w:b/>
                <w:sz w:val="16"/>
                <w:szCs w:val="16"/>
              </w:rPr>
              <w:t>Suma de cuadrados</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center"/>
              <w:rPr>
                <w:rFonts w:ascii="Arial" w:hAnsi="Arial" w:cs="Arial"/>
                <w:b/>
                <w:sz w:val="16"/>
                <w:szCs w:val="16"/>
              </w:rPr>
            </w:pPr>
            <w:proofErr w:type="spellStart"/>
            <w:r w:rsidRPr="004A292E">
              <w:rPr>
                <w:rFonts w:ascii="Arial" w:hAnsi="Arial" w:cs="Arial"/>
                <w:b/>
                <w:sz w:val="16"/>
                <w:szCs w:val="16"/>
              </w:rPr>
              <w:t>gl</w:t>
            </w:r>
            <w:proofErr w:type="spellEnd"/>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center"/>
              <w:rPr>
                <w:rFonts w:ascii="Arial" w:hAnsi="Arial" w:cs="Arial"/>
                <w:b/>
                <w:sz w:val="16"/>
                <w:szCs w:val="16"/>
              </w:rPr>
            </w:pPr>
            <w:r w:rsidRPr="004A292E">
              <w:rPr>
                <w:rFonts w:ascii="Arial" w:hAnsi="Arial" w:cs="Arial"/>
                <w:b/>
                <w:sz w:val="16"/>
                <w:szCs w:val="16"/>
              </w:rPr>
              <w:t>Media cuadrática</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center"/>
              <w:rPr>
                <w:rFonts w:ascii="Arial" w:hAnsi="Arial" w:cs="Arial"/>
                <w:b/>
                <w:sz w:val="16"/>
                <w:szCs w:val="16"/>
              </w:rPr>
            </w:pPr>
            <w:r w:rsidRPr="004A292E">
              <w:rPr>
                <w:rFonts w:ascii="Arial" w:hAnsi="Arial" w:cs="Arial"/>
                <w:b/>
                <w:sz w:val="16"/>
                <w:szCs w:val="16"/>
              </w:rPr>
              <w:t>F</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center"/>
              <w:rPr>
                <w:rFonts w:ascii="Arial" w:hAnsi="Arial" w:cs="Arial"/>
                <w:b/>
                <w:sz w:val="16"/>
                <w:szCs w:val="16"/>
              </w:rPr>
            </w:pPr>
            <w:r w:rsidRPr="004A292E">
              <w:rPr>
                <w:rFonts w:ascii="Arial" w:hAnsi="Arial" w:cs="Arial"/>
                <w:b/>
                <w:sz w:val="16"/>
                <w:szCs w:val="16"/>
              </w:rPr>
              <w:t>Sig.</w:t>
            </w:r>
          </w:p>
        </w:tc>
        <w:tc>
          <w:tcPr>
            <w:tcW w:w="56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770542" w:rsidRPr="004A292E" w:rsidRDefault="00770542" w:rsidP="00770542">
            <w:pPr>
              <w:autoSpaceDE w:val="0"/>
              <w:autoSpaceDN w:val="0"/>
              <w:adjustRightInd w:val="0"/>
              <w:jc w:val="center"/>
              <w:rPr>
                <w:rFonts w:ascii="Arial" w:hAnsi="Arial" w:cs="Arial"/>
                <w:b/>
                <w:sz w:val="16"/>
                <w:szCs w:val="16"/>
              </w:rPr>
            </w:pPr>
            <w:r w:rsidRPr="004A292E">
              <w:rPr>
                <w:rFonts w:ascii="Arial" w:hAnsi="Arial" w:cs="Arial"/>
                <w:b/>
                <w:sz w:val="16"/>
                <w:szCs w:val="16"/>
              </w:rPr>
              <w:t xml:space="preserve">R </w:t>
            </w:r>
            <w:r w:rsidRPr="004A292E">
              <w:rPr>
                <w:rFonts w:ascii="Arial" w:hAnsi="Arial" w:cs="Arial"/>
                <w:b/>
                <w:sz w:val="16"/>
                <w:szCs w:val="16"/>
                <w:vertAlign w:val="superscript"/>
              </w:rPr>
              <w:t>2</w:t>
            </w: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770542" w:rsidRPr="004A292E" w:rsidRDefault="00770542" w:rsidP="00770542">
            <w:pPr>
              <w:autoSpaceDE w:val="0"/>
              <w:autoSpaceDN w:val="0"/>
              <w:adjustRightInd w:val="0"/>
              <w:jc w:val="center"/>
              <w:rPr>
                <w:rFonts w:ascii="Arial" w:hAnsi="Arial" w:cs="Arial"/>
                <w:b/>
                <w:sz w:val="16"/>
                <w:szCs w:val="16"/>
              </w:rPr>
            </w:pPr>
            <w:proofErr w:type="spellStart"/>
            <w:r w:rsidRPr="004A292E">
              <w:rPr>
                <w:rFonts w:ascii="Arial" w:hAnsi="Arial" w:cs="Arial"/>
                <w:b/>
                <w:sz w:val="16"/>
                <w:szCs w:val="16"/>
              </w:rPr>
              <w:t>Durbin</w:t>
            </w:r>
            <w:proofErr w:type="spellEnd"/>
            <w:r w:rsidRPr="004A292E">
              <w:rPr>
                <w:rFonts w:ascii="Arial" w:hAnsi="Arial" w:cs="Arial"/>
                <w:b/>
                <w:sz w:val="16"/>
                <w:szCs w:val="16"/>
              </w:rPr>
              <w:t>-Watson</w:t>
            </w:r>
          </w:p>
        </w:tc>
      </w:tr>
      <w:tr w:rsidR="00770542" w:rsidRPr="004A292E" w:rsidTr="00A95645">
        <w:trPr>
          <w:gridAfter w:val="1"/>
          <w:wAfter w:w="3440" w:type="dxa"/>
          <w:cantSplit/>
          <w:tblHeader/>
        </w:trPr>
        <w:tc>
          <w:tcPr>
            <w:tcW w:w="1419"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Endeudamiento</w:t>
            </w:r>
          </w:p>
        </w:tc>
        <w:tc>
          <w:tcPr>
            <w:tcW w:w="1559" w:type="dxa"/>
            <w:vMerge w:val="restart"/>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r w:rsidRPr="004A292E">
              <w:rPr>
                <w:rFonts w:ascii="Arial" w:hAnsi="Arial" w:cs="Arial"/>
                <w:sz w:val="16"/>
                <w:szCs w:val="16"/>
              </w:rPr>
              <w:t xml:space="preserve">(Constante), </w:t>
            </w:r>
            <w:proofErr w:type="spellStart"/>
            <w:r w:rsidRPr="004A292E">
              <w:rPr>
                <w:rFonts w:ascii="Arial" w:hAnsi="Arial" w:cs="Arial"/>
                <w:sz w:val="16"/>
                <w:szCs w:val="16"/>
              </w:rPr>
              <w:t>Amort</w:t>
            </w:r>
            <w:proofErr w:type="spellEnd"/>
            <w:r w:rsidRPr="004A292E">
              <w:rPr>
                <w:rFonts w:ascii="Arial" w:hAnsi="Arial" w:cs="Arial"/>
                <w:sz w:val="16"/>
                <w:szCs w:val="16"/>
              </w:rPr>
              <w:t xml:space="preserve">., Liq.2, </w:t>
            </w:r>
            <w:proofErr w:type="spellStart"/>
            <w:r w:rsidRPr="004A292E">
              <w:rPr>
                <w:rFonts w:ascii="Arial" w:hAnsi="Arial" w:cs="Arial"/>
                <w:sz w:val="16"/>
                <w:szCs w:val="16"/>
              </w:rPr>
              <w:t>Capit</w:t>
            </w:r>
            <w:proofErr w:type="spellEnd"/>
            <w:r w:rsidRPr="004A292E">
              <w:rPr>
                <w:rFonts w:ascii="Arial" w:hAnsi="Arial" w:cs="Arial"/>
                <w:sz w:val="16"/>
                <w:szCs w:val="16"/>
              </w:rPr>
              <w:t>.</w:t>
            </w:r>
          </w:p>
        </w:tc>
        <w:tc>
          <w:tcPr>
            <w:tcW w:w="284" w:type="dxa"/>
            <w:vMerge w:val="restart"/>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1</w:t>
            </w:r>
          </w:p>
          <w:p w:rsidR="00770542" w:rsidRPr="004A292E" w:rsidRDefault="00770542" w:rsidP="00770542">
            <w:pPr>
              <w:rPr>
                <w:rFonts w:ascii="Arial" w:hAnsi="Arial" w:cs="Arial"/>
                <w:sz w:val="16"/>
                <w:szCs w:val="16"/>
              </w:rPr>
            </w:pPr>
          </w:p>
          <w:p w:rsidR="00770542" w:rsidRPr="004A292E" w:rsidRDefault="00770542" w:rsidP="00770542">
            <w:pPr>
              <w:rPr>
                <w:rFonts w:ascii="Arial" w:hAnsi="Arial" w:cs="Arial"/>
                <w:sz w:val="16"/>
                <w:szCs w:val="16"/>
              </w:rPr>
            </w:pPr>
          </w:p>
          <w:p w:rsidR="00770542" w:rsidRPr="004A292E" w:rsidRDefault="00770542" w:rsidP="00770542">
            <w:pPr>
              <w:rPr>
                <w:rFonts w:ascii="Arial" w:hAnsi="Arial" w:cs="Arial"/>
                <w:sz w:val="16"/>
                <w:szCs w:val="16"/>
              </w:rPr>
            </w:pPr>
          </w:p>
        </w:tc>
        <w:tc>
          <w:tcPr>
            <w:tcW w:w="991"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Regresión</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8,108</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3</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2,703</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283,891</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,000</w:t>
            </w:r>
            <w:r w:rsidRPr="004A292E">
              <w:rPr>
                <w:rFonts w:ascii="Arial" w:hAnsi="Arial" w:cs="Arial"/>
                <w:sz w:val="16"/>
                <w:szCs w:val="16"/>
                <w:vertAlign w:val="superscript"/>
              </w:rPr>
              <w:t>a</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0,833</w:t>
            </w: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2,104</w:t>
            </w:r>
          </w:p>
        </w:tc>
      </w:tr>
      <w:tr w:rsidR="00770542" w:rsidRPr="004A292E" w:rsidTr="00A95645">
        <w:trPr>
          <w:gridAfter w:val="1"/>
          <w:wAfter w:w="3440" w:type="dxa"/>
          <w:cantSplit/>
          <w:tblHeader/>
        </w:trPr>
        <w:tc>
          <w:tcPr>
            <w:tcW w:w="1419" w:type="dxa"/>
            <w:vMerge/>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284" w:type="dxa"/>
            <w:vMerge/>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Arial"/>
                <w:sz w:val="16"/>
                <w:szCs w:val="16"/>
              </w:rPr>
            </w:pPr>
          </w:p>
        </w:tc>
        <w:tc>
          <w:tcPr>
            <w:tcW w:w="991"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Residual</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1,590</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167</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,010</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r>
      <w:tr w:rsidR="00770542" w:rsidRPr="004A292E" w:rsidTr="00A95645">
        <w:trPr>
          <w:gridAfter w:val="1"/>
          <w:wAfter w:w="3440" w:type="dxa"/>
          <w:cantSplit/>
          <w:tblHeader/>
        </w:trPr>
        <w:tc>
          <w:tcPr>
            <w:tcW w:w="1419" w:type="dxa"/>
            <w:vMerge/>
            <w:tcBorders>
              <w:top w:val="single" w:sz="8" w:space="0" w:color="000000"/>
              <w:left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1559" w:type="dxa"/>
            <w:vMerge/>
            <w:tcBorders>
              <w:top w:val="single" w:sz="8" w:space="0" w:color="000000"/>
              <w:left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284" w:type="dxa"/>
            <w:vMerge/>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Arial"/>
                <w:sz w:val="16"/>
                <w:szCs w:val="16"/>
              </w:rPr>
            </w:pPr>
          </w:p>
        </w:tc>
        <w:tc>
          <w:tcPr>
            <w:tcW w:w="991"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Total</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9,697</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170</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Arial"/>
                <w:sz w:val="16"/>
                <w:szCs w:val="16"/>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r>
      <w:tr w:rsidR="00770542" w:rsidRPr="004A292E" w:rsidTr="00A95645">
        <w:trPr>
          <w:gridAfter w:val="1"/>
          <w:wAfter w:w="3440" w:type="dxa"/>
          <w:cantSplit/>
          <w:tblHeader/>
        </w:trPr>
        <w:tc>
          <w:tcPr>
            <w:tcW w:w="1419" w:type="dxa"/>
            <w:vMerge w:val="restart"/>
            <w:tcBorders>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r w:rsidRPr="004A292E">
              <w:rPr>
                <w:rFonts w:ascii="Arial" w:hAnsi="Arial" w:cs="Arial"/>
                <w:sz w:val="16"/>
                <w:szCs w:val="16"/>
              </w:rPr>
              <w:t>Endeudamiento c/p</w:t>
            </w:r>
          </w:p>
        </w:tc>
        <w:tc>
          <w:tcPr>
            <w:tcW w:w="1559" w:type="dxa"/>
            <w:vMerge w:val="restart"/>
            <w:tcBorders>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r w:rsidRPr="004A292E">
              <w:rPr>
                <w:rFonts w:ascii="Arial" w:hAnsi="Arial" w:cs="Arial"/>
                <w:sz w:val="16"/>
                <w:szCs w:val="16"/>
              </w:rPr>
              <w:t xml:space="preserve">(Constante), Ventas, </w:t>
            </w:r>
            <w:proofErr w:type="spellStart"/>
            <w:r w:rsidRPr="004A292E">
              <w:rPr>
                <w:rFonts w:ascii="Arial" w:hAnsi="Arial" w:cs="Arial"/>
                <w:sz w:val="16"/>
                <w:szCs w:val="16"/>
              </w:rPr>
              <w:t>Rot.A</w:t>
            </w:r>
            <w:proofErr w:type="spellEnd"/>
            <w:r w:rsidRPr="004A292E">
              <w:rPr>
                <w:rFonts w:ascii="Arial" w:hAnsi="Arial" w:cs="Arial"/>
                <w:sz w:val="16"/>
                <w:szCs w:val="16"/>
              </w:rPr>
              <w:t xml:space="preserve">, </w:t>
            </w:r>
            <w:proofErr w:type="spellStart"/>
            <w:r w:rsidRPr="004A292E">
              <w:rPr>
                <w:rFonts w:ascii="Arial" w:hAnsi="Arial" w:cs="Arial"/>
                <w:sz w:val="16"/>
                <w:szCs w:val="16"/>
              </w:rPr>
              <w:t>Capit</w:t>
            </w:r>
            <w:proofErr w:type="spellEnd"/>
            <w:r w:rsidRPr="004A292E">
              <w:rPr>
                <w:rFonts w:ascii="Arial" w:hAnsi="Arial" w:cs="Arial"/>
                <w:sz w:val="16"/>
                <w:szCs w:val="16"/>
              </w:rPr>
              <w:t>., Liq.2, Activo</w:t>
            </w:r>
          </w:p>
        </w:tc>
        <w:tc>
          <w:tcPr>
            <w:tcW w:w="284" w:type="dxa"/>
            <w:vMerge w:val="restart"/>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1</w:t>
            </w:r>
          </w:p>
        </w:tc>
        <w:tc>
          <w:tcPr>
            <w:tcW w:w="991"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Regresión</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4,317</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5</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,863</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64,955</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,000</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0,709</w:t>
            </w: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1,983</w:t>
            </w:r>
          </w:p>
        </w:tc>
      </w:tr>
      <w:tr w:rsidR="00770542" w:rsidRPr="004A292E" w:rsidTr="00A95645">
        <w:trPr>
          <w:gridAfter w:val="1"/>
          <w:wAfter w:w="3440" w:type="dxa"/>
          <w:cantSplit/>
          <w:tblHeader/>
        </w:trPr>
        <w:tc>
          <w:tcPr>
            <w:tcW w:w="1419" w:type="dxa"/>
            <w:vMerge/>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284" w:type="dxa"/>
            <w:vMerge/>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Arial"/>
                <w:sz w:val="16"/>
                <w:szCs w:val="16"/>
              </w:rPr>
            </w:pPr>
          </w:p>
        </w:tc>
        <w:tc>
          <w:tcPr>
            <w:tcW w:w="991"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Residual</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1,675</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126</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,013</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jc w:val="center"/>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jc w:val="center"/>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jc w:val="center"/>
              <w:rPr>
                <w:rFonts w:ascii="Arial" w:hAnsi="Arial" w:cs="Arial"/>
                <w:sz w:val="16"/>
                <w:szCs w:val="16"/>
              </w:rPr>
            </w:pP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jc w:val="center"/>
              <w:rPr>
                <w:rFonts w:ascii="Arial" w:hAnsi="Arial" w:cs="Arial"/>
                <w:sz w:val="16"/>
                <w:szCs w:val="16"/>
              </w:rPr>
            </w:pPr>
          </w:p>
        </w:tc>
      </w:tr>
      <w:tr w:rsidR="00770542" w:rsidRPr="004A292E" w:rsidTr="00A95645">
        <w:trPr>
          <w:gridAfter w:val="1"/>
          <w:wAfter w:w="3440" w:type="dxa"/>
          <w:cantSplit/>
          <w:tblHeader/>
        </w:trPr>
        <w:tc>
          <w:tcPr>
            <w:tcW w:w="1419" w:type="dxa"/>
            <w:vMerge/>
            <w:tcBorders>
              <w:top w:val="single" w:sz="8" w:space="0" w:color="000000"/>
              <w:left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1559" w:type="dxa"/>
            <w:vMerge/>
            <w:tcBorders>
              <w:top w:val="single" w:sz="8" w:space="0" w:color="000000"/>
              <w:left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284" w:type="dxa"/>
            <w:vMerge/>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Arial"/>
                <w:sz w:val="16"/>
                <w:szCs w:val="16"/>
              </w:rPr>
            </w:pPr>
          </w:p>
        </w:tc>
        <w:tc>
          <w:tcPr>
            <w:tcW w:w="991"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Total</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5,992</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131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jc w:val="right"/>
              <w:rPr>
                <w:rFonts w:ascii="Arial" w:hAnsi="Arial" w:cs="Arial"/>
                <w:sz w:val="16"/>
                <w:szCs w:val="16"/>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jc w:val="center"/>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jc w:val="center"/>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jc w:val="center"/>
              <w:rPr>
                <w:rFonts w:ascii="Arial" w:hAnsi="Arial" w:cs="Arial"/>
                <w:sz w:val="16"/>
                <w:szCs w:val="16"/>
              </w:rPr>
            </w:pP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jc w:val="center"/>
              <w:rPr>
                <w:rFonts w:ascii="Arial" w:hAnsi="Arial" w:cs="Arial"/>
                <w:sz w:val="16"/>
                <w:szCs w:val="16"/>
              </w:rPr>
            </w:pPr>
          </w:p>
        </w:tc>
      </w:tr>
      <w:tr w:rsidR="00770542" w:rsidRPr="004A292E" w:rsidTr="00A95645">
        <w:trPr>
          <w:gridAfter w:val="1"/>
          <w:wAfter w:w="3440" w:type="dxa"/>
          <w:cantSplit/>
          <w:tblHeader/>
        </w:trPr>
        <w:tc>
          <w:tcPr>
            <w:tcW w:w="1419" w:type="dxa"/>
            <w:vMerge w:val="restart"/>
            <w:tcBorders>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r w:rsidRPr="004A292E">
              <w:rPr>
                <w:rFonts w:ascii="Arial" w:hAnsi="Arial" w:cs="Arial"/>
                <w:sz w:val="16"/>
                <w:szCs w:val="16"/>
              </w:rPr>
              <w:t>Endeudamiento l/p</w:t>
            </w:r>
          </w:p>
        </w:tc>
        <w:tc>
          <w:tcPr>
            <w:tcW w:w="1559" w:type="dxa"/>
            <w:vMerge w:val="restart"/>
            <w:tcBorders>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r w:rsidRPr="004A292E">
              <w:rPr>
                <w:rFonts w:ascii="Arial" w:hAnsi="Arial" w:cs="Arial"/>
                <w:sz w:val="16"/>
                <w:szCs w:val="16"/>
              </w:rPr>
              <w:t xml:space="preserve">(Constante), Ventas, </w:t>
            </w:r>
            <w:proofErr w:type="spellStart"/>
            <w:r w:rsidRPr="004A292E">
              <w:rPr>
                <w:rFonts w:ascii="Arial" w:hAnsi="Arial" w:cs="Arial"/>
                <w:sz w:val="16"/>
                <w:szCs w:val="16"/>
              </w:rPr>
              <w:t>Capit</w:t>
            </w:r>
            <w:proofErr w:type="spellEnd"/>
            <w:r w:rsidRPr="004A292E">
              <w:rPr>
                <w:rFonts w:ascii="Arial" w:hAnsi="Arial" w:cs="Arial"/>
                <w:sz w:val="16"/>
                <w:szCs w:val="16"/>
              </w:rPr>
              <w:t>., Liq.2, Activo</w:t>
            </w:r>
          </w:p>
        </w:tc>
        <w:tc>
          <w:tcPr>
            <w:tcW w:w="284" w:type="dxa"/>
            <w:vMerge w:val="restart"/>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Arial"/>
                <w:sz w:val="16"/>
                <w:szCs w:val="16"/>
              </w:rPr>
            </w:pPr>
            <w:r w:rsidRPr="004A292E">
              <w:rPr>
                <w:rFonts w:ascii="Arial" w:hAnsi="Arial" w:cs="Arial"/>
                <w:sz w:val="16"/>
                <w:szCs w:val="16"/>
              </w:rPr>
              <w:t>1</w:t>
            </w:r>
          </w:p>
        </w:tc>
        <w:tc>
          <w:tcPr>
            <w:tcW w:w="991"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Regresión</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2,087</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4</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right"/>
              <w:rPr>
                <w:rFonts w:ascii="Arial" w:hAnsi="Arial" w:cs="Arial"/>
                <w:sz w:val="16"/>
                <w:szCs w:val="16"/>
              </w:rPr>
            </w:pPr>
            <w:r w:rsidRPr="004A292E">
              <w:rPr>
                <w:rFonts w:ascii="Arial" w:hAnsi="Arial" w:cs="Arial"/>
                <w:sz w:val="16"/>
                <w:szCs w:val="16"/>
              </w:rPr>
              <w:t>,522</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right"/>
              <w:rPr>
                <w:rFonts w:ascii="Arial" w:hAnsi="Arial" w:cs="Arial"/>
                <w:sz w:val="16"/>
                <w:szCs w:val="16"/>
              </w:rPr>
            </w:pPr>
            <w:r w:rsidRPr="004A292E">
              <w:rPr>
                <w:rFonts w:ascii="Arial" w:hAnsi="Arial" w:cs="Arial"/>
                <w:sz w:val="16"/>
                <w:szCs w:val="16"/>
              </w:rPr>
              <w:t>47,867</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right"/>
              <w:rPr>
                <w:rFonts w:ascii="Arial" w:hAnsi="Arial" w:cs="Arial"/>
                <w:sz w:val="16"/>
                <w:szCs w:val="16"/>
              </w:rPr>
            </w:pPr>
            <w:r w:rsidRPr="004A292E">
              <w:rPr>
                <w:rFonts w:ascii="Arial" w:hAnsi="Arial" w:cs="Arial"/>
                <w:sz w:val="16"/>
                <w:szCs w:val="16"/>
              </w:rPr>
              <w:t>,000</w:t>
            </w:r>
          </w:p>
        </w:tc>
        <w:tc>
          <w:tcPr>
            <w:tcW w:w="56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770542" w:rsidRPr="004A292E" w:rsidRDefault="00770542" w:rsidP="00770542">
            <w:pPr>
              <w:autoSpaceDE w:val="0"/>
              <w:autoSpaceDN w:val="0"/>
              <w:adjustRightInd w:val="0"/>
              <w:jc w:val="right"/>
              <w:rPr>
                <w:rFonts w:ascii="Arial" w:hAnsi="Arial" w:cs="Arial"/>
                <w:sz w:val="16"/>
                <w:szCs w:val="16"/>
              </w:rPr>
            </w:pPr>
            <w:r w:rsidRPr="004A292E">
              <w:rPr>
                <w:rFonts w:ascii="Arial" w:hAnsi="Arial" w:cs="Arial"/>
                <w:sz w:val="16"/>
                <w:szCs w:val="16"/>
              </w:rPr>
              <w:t>0,620</w:t>
            </w: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770542" w:rsidRPr="004A292E" w:rsidRDefault="00770542" w:rsidP="00770542">
            <w:pPr>
              <w:autoSpaceDE w:val="0"/>
              <w:autoSpaceDN w:val="0"/>
              <w:adjustRightInd w:val="0"/>
              <w:jc w:val="right"/>
              <w:rPr>
                <w:rFonts w:ascii="Arial" w:hAnsi="Arial" w:cs="Arial"/>
                <w:sz w:val="16"/>
                <w:szCs w:val="16"/>
              </w:rPr>
            </w:pPr>
            <w:r w:rsidRPr="004A292E">
              <w:rPr>
                <w:rFonts w:ascii="Arial" w:hAnsi="Arial" w:cs="Arial"/>
                <w:sz w:val="16"/>
                <w:szCs w:val="16"/>
              </w:rPr>
              <w:t>2,000</w:t>
            </w:r>
          </w:p>
        </w:tc>
      </w:tr>
      <w:tr w:rsidR="00770542" w:rsidRPr="004A292E" w:rsidTr="00A95645">
        <w:trPr>
          <w:gridAfter w:val="1"/>
          <w:wAfter w:w="3440" w:type="dxa"/>
          <w:cantSplit/>
          <w:tblHeader/>
        </w:trPr>
        <w:tc>
          <w:tcPr>
            <w:tcW w:w="1419" w:type="dxa"/>
            <w:vMerge/>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284" w:type="dxa"/>
            <w:vMerge/>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Arial"/>
                <w:sz w:val="16"/>
                <w:szCs w:val="16"/>
              </w:rPr>
            </w:pPr>
          </w:p>
        </w:tc>
        <w:tc>
          <w:tcPr>
            <w:tcW w:w="991"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Residual</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1,210</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right"/>
              <w:rPr>
                <w:rFonts w:ascii="Arial" w:hAnsi="Arial" w:cs="Arial"/>
                <w:sz w:val="16"/>
                <w:szCs w:val="16"/>
              </w:rPr>
            </w:pPr>
            <w:r w:rsidRPr="004A292E">
              <w:rPr>
                <w:rFonts w:ascii="Arial" w:hAnsi="Arial" w:cs="Arial"/>
                <w:sz w:val="16"/>
                <w:szCs w:val="16"/>
              </w:rPr>
              <w:t>,011</w:t>
            </w: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right"/>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right"/>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jc w:val="right"/>
              <w:rPr>
                <w:rFonts w:ascii="Arial" w:hAnsi="Arial" w:cs="Arial"/>
                <w:sz w:val="16"/>
                <w:szCs w:val="16"/>
              </w:rPr>
            </w:pP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jc w:val="right"/>
              <w:rPr>
                <w:rFonts w:ascii="Arial" w:hAnsi="Arial" w:cs="Arial"/>
                <w:sz w:val="16"/>
                <w:szCs w:val="16"/>
              </w:rPr>
            </w:pPr>
          </w:p>
        </w:tc>
      </w:tr>
      <w:tr w:rsidR="00770542" w:rsidRPr="004A292E" w:rsidTr="00A95645">
        <w:trPr>
          <w:gridAfter w:val="1"/>
          <w:wAfter w:w="3440" w:type="dxa"/>
          <w:cantSplit/>
          <w:tblHeader/>
        </w:trPr>
        <w:tc>
          <w:tcPr>
            <w:tcW w:w="1419" w:type="dxa"/>
            <w:vMerge/>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1559" w:type="dxa"/>
            <w:vMerge/>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rPr>
                <w:rFonts w:ascii="Arial" w:hAnsi="Arial" w:cs="Arial"/>
                <w:sz w:val="16"/>
                <w:szCs w:val="16"/>
              </w:rPr>
            </w:pPr>
          </w:p>
        </w:tc>
        <w:tc>
          <w:tcPr>
            <w:tcW w:w="284" w:type="dxa"/>
            <w:vMerge/>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Arial"/>
                <w:sz w:val="16"/>
                <w:szCs w:val="16"/>
              </w:rPr>
            </w:pPr>
          </w:p>
        </w:tc>
        <w:tc>
          <w:tcPr>
            <w:tcW w:w="991"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rPr>
                <w:rFonts w:ascii="Arial" w:hAnsi="Arial" w:cs="Arial"/>
                <w:sz w:val="16"/>
                <w:szCs w:val="16"/>
              </w:rPr>
            </w:pPr>
            <w:r w:rsidRPr="004A292E">
              <w:rPr>
                <w:rFonts w:ascii="Arial" w:hAnsi="Arial" w:cs="Arial"/>
                <w:sz w:val="16"/>
                <w:szCs w:val="16"/>
              </w:rPr>
              <w:t>Total</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3,297</w:t>
            </w:r>
          </w:p>
        </w:tc>
        <w:tc>
          <w:tcPr>
            <w:tcW w:w="426"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Arial"/>
                <w:sz w:val="16"/>
                <w:szCs w:val="16"/>
              </w:rPr>
            </w:pPr>
            <w:r w:rsidRPr="004A292E">
              <w:rPr>
                <w:rFonts w:ascii="Arial" w:hAnsi="Arial" w:cs="Arial"/>
                <w:sz w:val="16"/>
                <w:szCs w:val="16"/>
              </w:rPr>
              <w:t>115</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right"/>
              <w:rPr>
                <w:rFonts w:ascii="Arial" w:hAnsi="Arial" w:cs="Arial"/>
                <w:sz w:val="16"/>
                <w:szCs w:val="16"/>
              </w:rPr>
            </w:pPr>
          </w:p>
        </w:tc>
        <w:tc>
          <w:tcPr>
            <w:tcW w:w="850"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right"/>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jc w:val="right"/>
              <w:rPr>
                <w:rFonts w:ascii="Arial" w:hAnsi="Arial" w:cs="Arial"/>
                <w:sz w:val="16"/>
                <w:szCs w:val="16"/>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jc w:val="right"/>
              <w:rPr>
                <w:rFonts w:ascii="Arial" w:hAnsi="Arial" w:cs="Arial"/>
                <w:sz w:val="16"/>
                <w:szCs w:val="16"/>
              </w:rPr>
            </w:pPr>
          </w:p>
        </w:tc>
        <w:tc>
          <w:tcPr>
            <w:tcW w:w="851" w:type="dxa"/>
            <w:gridSpan w:val="2"/>
            <w:tcBorders>
              <w:top w:val="single" w:sz="8" w:space="0" w:color="000000"/>
              <w:left w:val="single" w:sz="8" w:space="0" w:color="000000"/>
              <w:bottom w:val="single" w:sz="8" w:space="0" w:color="000000"/>
              <w:right w:val="single" w:sz="8" w:space="0" w:color="000000"/>
            </w:tcBorders>
            <w:shd w:val="clear" w:color="auto" w:fill="FFFFFF"/>
          </w:tcPr>
          <w:p w:rsidR="00770542" w:rsidRPr="004A292E" w:rsidRDefault="00770542" w:rsidP="00770542">
            <w:pPr>
              <w:autoSpaceDE w:val="0"/>
              <w:autoSpaceDN w:val="0"/>
              <w:adjustRightInd w:val="0"/>
              <w:jc w:val="right"/>
              <w:rPr>
                <w:rFonts w:ascii="Arial" w:hAnsi="Arial" w:cs="Arial"/>
                <w:sz w:val="16"/>
                <w:szCs w:val="16"/>
              </w:rPr>
            </w:pPr>
          </w:p>
        </w:tc>
      </w:tr>
    </w:tbl>
    <w:p w:rsidR="00770542" w:rsidRPr="00835B00" w:rsidRDefault="00770542" w:rsidP="00770542">
      <w:pPr>
        <w:jc w:val="both"/>
        <w:rPr>
          <w:rFonts w:ascii="Arial" w:eastAsia="Times New Roman" w:hAnsi="Arial" w:cs="Arial"/>
          <w:sz w:val="20"/>
          <w:szCs w:val="20"/>
          <w:lang w:val="es-ES"/>
        </w:rPr>
      </w:pPr>
      <w:r w:rsidRPr="00835B00">
        <w:rPr>
          <w:rFonts w:ascii="Arial" w:eastAsia="Times New Roman" w:hAnsi="Arial" w:cs="Arial"/>
          <w:sz w:val="20"/>
          <w:szCs w:val="20"/>
          <w:lang w:val="es-ES"/>
        </w:rPr>
        <w:t>FUENTE: Elaboración propia.</w:t>
      </w:r>
    </w:p>
    <w:p w:rsidR="00770542" w:rsidRPr="00770542" w:rsidRDefault="00770542" w:rsidP="00770542">
      <w:pPr>
        <w:ind w:firstLine="567"/>
        <w:jc w:val="both"/>
        <w:rPr>
          <w:rFonts w:ascii="Arial" w:eastAsia="Times New Roman" w:hAnsi="Arial" w:cs="Arial"/>
          <w:sz w:val="20"/>
          <w:szCs w:val="20"/>
          <w:lang w:val="es-ES"/>
        </w:rPr>
      </w:pPr>
    </w:p>
    <w:p w:rsidR="00770542" w:rsidRDefault="002E14E4"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Pr>
          <w:rFonts w:ascii="Arial" w:eastAsia="Times New Roman" w:hAnsi="Arial"/>
          <w:sz w:val="20"/>
          <w:szCs w:val="20"/>
          <w:lang w:val="es-ES" w:eastAsia="es-ES"/>
        </w:rPr>
        <w:lastRenderedPageBreak/>
        <w:t>El Cuadro 7</w:t>
      </w:r>
      <w:r w:rsidR="00770542" w:rsidRPr="00A95645">
        <w:rPr>
          <w:rFonts w:ascii="Arial" w:eastAsia="Times New Roman" w:hAnsi="Arial"/>
          <w:sz w:val="20"/>
          <w:szCs w:val="20"/>
          <w:lang w:val="es-ES" w:eastAsia="es-ES"/>
        </w:rPr>
        <w:t xml:space="preserve"> muestra un resumen de las variables que han resultado significativas en los análisis, así como el carácter de la relación, en función de si ésta es directa (coeficiente positivo) o bien inversa (coeficiente negativo) para cada una de las variables consideradas.</w:t>
      </w:r>
    </w:p>
    <w:p w:rsidR="006C2C17" w:rsidRPr="00A95645" w:rsidRDefault="006C2C17" w:rsidP="00A95645">
      <w:pPr>
        <w:pStyle w:val="Prrafodelista"/>
        <w:spacing w:after="0" w:line="240" w:lineRule="auto"/>
        <w:ind w:left="0" w:firstLine="567"/>
        <w:contextualSpacing w:val="0"/>
        <w:jc w:val="both"/>
        <w:rPr>
          <w:rFonts w:ascii="Arial" w:eastAsia="Times New Roman" w:hAnsi="Arial"/>
          <w:sz w:val="20"/>
          <w:szCs w:val="20"/>
          <w:lang w:val="es-ES" w:eastAsia="es-ES"/>
        </w:rPr>
      </w:pPr>
    </w:p>
    <w:p w:rsidR="00770542" w:rsidRPr="00A95645" w:rsidRDefault="002E14E4" w:rsidP="00A95645">
      <w:pPr>
        <w:pStyle w:val="Numeracindetablasyfiguras"/>
        <w:spacing w:before="0"/>
        <w:rPr>
          <w:rFonts w:ascii="Arial" w:hAnsi="Arial"/>
          <w:szCs w:val="20"/>
        </w:rPr>
      </w:pPr>
      <w:r>
        <w:rPr>
          <w:rFonts w:ascii="Arial" w:hAnsi="Arial"/>
          <w:szCs w:val="20"/>
        </w:rPr>
        <w:t>CUADRO 7</w:t>
      </w:r>
    </w:p>
    <w:p w:rsidR="00770542" w:rsidRPr="00A95645" w:rsidRDefault="00770542" w:rsidP="00A95645">
      <w:pPr>
        <w:pStyle w:val="Prrafodelista"/>
        <w:spacing w:after="0" w:line="240" w:lineRule="auto"/>
        <w:ind w:left="0"/>
        <w:contextualSpacing w:val="0"/>
        <w:jc w:val="center"/>
        <w:rPr>
          <w:rFonts w:ascii="Arial" w:eastAsia="Times New Roman" w:hAnsi="Arial"/>
          <w:sz w:val="20"/>
          <w:szCs w:val="20"/>
          <w:lang w:val="es-ES" w:eastAsia="es-ES"/>
        </w:rPr>
      </w:pPr>
      <w:r w:rsidRPr="00A95645">
        <w:rPr>
          <w:rFonts w:ascii="Arial" w:eastAsia="Times New Roman" w:hAnsi="Arial"/>
          <w:sz w:val="20"/>
          <w:szCs w:val="20"/>
          <w:lang w:val="es-ES" w:eastAsia="es-ES"/>
        </w:rPr>
        <w:t xml:space="preserve">Variables determinantes en el endeudamiento de </w:t>
      </w:r>
      <w:r w:rsidR="006C2C17">
        <w:rPr>
          <w:rFonts w:ascii="Arial" w:eastAsia="Times New Roman" w:hAnsi="Arial"/>
          <w:sz w:val="20"/>
          <w:szCs w:val="20"/>
          <w:lang w:val="es-ES" w:eastAsia="es-ES"/>
        </w:rPr>
        <w:t>las cooperativas agrarias</w:t>
      </w:r>
    </w:p>
    <w:tbl>
      <w:tblPr>
        <w:tblStyle w:val="Tablaconcuadrcula"/>
        <w:tblW w:w="9286" w:type="dxa"/>
        <w:tblLayout w:type="fixed"/>
        <w:tblLook w:val="04A0" w:firstRow="1" w:lastRow="0" w:firstColumn="1" w:lastColumn="0" w:noHBand="0" w:noVBand="1"/>
      </w:tblPr>
      <w:tblGrid>
        <w:gridCol w:w="1951"/>
        <w:gridCol w:w="2268"/>
        <w:gridCol w:w="1701"/>
        <w:gridCol w:w="1701"/>
        <w:gridCol w:w="1665"/>
      </w:tblGrid>
      <w:tr w:rsidR="00770542" w:rsidRPr="004A292E" w:rsidTr="00770542">
        <w:tc>
          <w:tcPr>
            <w:tcW w:w="1951" w:type="dxa"/>
            <w:tcBorders>
              <w:top w:val="single" w:sz="4" w:space="0" w:color="auto"/>
              <w:left w:val="single" w:sz="4" w:space="0" w:color="auto"/>
              <w:bottom w:val="single" w:sz="4" w:space="0" w:color="auto"/>
              <w:right w:val="single" w:sz="4" w:space="0" w:color="auto"/>
            </w:tcBorders>
            <w:hideMark/>
          </w:tcPr>
          <w:p w:rsidR="00770542" w:rsidRPr="004A292E" w:rsidRDefault="00770542" w:rsidP="00770542">
            <w:pPr>
              <w:spacing w:line="276" w:lineRule="auto"/>
              <w:jc w:val="center"/>
              <w:rPr>
                <w:rFonts w:ascii="Arial" w:hAnsi="Arial"/>
                <w:b/>
                <w:sz w:val="16"/>
                <w:szCs w:val="16"/>
              </w:rPr>
            </w:pPr>
            <w:r w:rsidRPr="004A292E">
              <w:rPr>
                <w:rFonts w:ascii="Arial" w:hAnsi="Arial"/>
                <w:b/>
                <w:sz w:val="16"/>
                <w:szCs w:val="16"/>
              </w:rPr>
              <w:t>Hipótesis a contrastar</w:t>
            </w:r>
          </w:p>
        </w:tc>
        <w:tc>
          <w:tcPr>
            <w:tcW w:w="2268" w:type="dxa"/>
            <w:tcBorders>
              <w:top w:val="single" w:sz="4" w:space="0" w:color="auto"/>
              <w:left w:val="single" w:sz="4" w:space="0" w:color="auto"/>
              <w:bottom w:val="single" w:sz="4" w:space="0" w:color="auto"/>
              <w:right w:val="single" w:sz="4" w:space="0" w:color="auto"/>
            </w:tcBorders>
            <w:hideMark/>
          </w:tcPr>
          <w:p w:rsidR="00770542" w:rsidRPr="004A292E" w:rsidRDefault="00770542" w:rsidP="00770542">
            <w:pPr>
              <w:spacing w:line="276" w:lineRule="auto"/>
              <w:jc w:val="center"/>
              <w:rPr>
                <w:rFonts w:ascii="Arial" w:hAnsi="Arial"/>
                <w:b/>
                <w:sz w:val="16"/>
                <w:szCs w:val="16"/>
              </w:rPr>
            </w:pPr>
            <w:r w:rsidRPr="004A292E">
              <w:rPr>
                <w:rFonts w:ascii="Arial" w:hAnsi="Arial"/>
                <w:b/>
                <w:sz w:val="16"/>
                <w:szCs w:val="16"/>
              </w:rPr>
              <w:t xml:space="preserve">Variables </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b/>
                <w:sz w:val="16"/>
                <w:szCs w:val="16"/>
              </w:rPr>
            </w:pPr>
            <w:r w:rsidRPr="004A292E">
              <w:rPr>
                <w:rFonts w:ascii="Arial" w:hAnsi="Arial"/>
                <w:b/>
                <w:sz w:val="16"/>
                <w:szCs w:val="16"/>
              </w:rPr>
              <w:t>Endeudamiento</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b/>
                <w:sz w:val="16"/>
                <w:szCs w:val="16"/>
              </w:rPr>
            </w:pPr>
            <w:r w:rsidRPr="004A292E">
              <w:rPr>
                <w:rFonts w:ascii="Arial" w:hAnsi="Arial"/>
                <w:b/>
                <w:sz w:val="16"/>
                <w:szCs w:val="16"/>
              </w:rPr>
              <w:t>Endeudamiento c/p</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b/>
                <w:sz w:val="16"/>
                <w:szCs w:val="16"/>
              </w:rPr>
            </w:pPr>
            <w:r w:rsidRPr="004A292E">
              <w:rPr>
                <w:rFonts w:ascii="Arial" w:hAnsi="Arial"/>
                <w:b/>
                <w:sz w:val="16"/>
                <w:szCs w:val="16"/>
              </w:rPr>
              <w:t>Endeudamiento l/p</w:t>
            </w:r>
          </w:p>
        </w:tc>
      </w:tr>
      <w:tr w:rsidR="00770542" w:rsidRPr="004A292E" w:rsidTr="00770542">
        <w:tc>
          <w:tcPr>
            <w:tcW w:w="195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H</w:t>
            </w:r>
            <w:r w:rsidR="00E8671E" w:rsidRPr="004A292E">
              <w:rPr>
                <w:rFonts w:ascii="Arial" w:hAnsi="Arial"/>
                <w:sz w:val="16"/>
                <w:szCs w:val="16"/>
                <w:vertAlign w:val="subscript"/>
              </w:rPr>
              <w:t>1</w:t>
            </w:r>
            <w:r w:rsidRPr="004A292E">
              <w:rPr>
                <w:rFonts w:ascii="Arial" w:hAnsi="Arial"/>
                <w:sz w:val="16"/>
                <w:szCs w:val="16"/>
              </w:rPr>
              <w:t>: Teoría del Óptimo Financiero</w:t>
            </w:r>
          </w:p>
        </w:tc>
        <w:tc>
          <w:tcPr>
            <w:tcW w:w="2268"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Gastos amortización / Total Gastos</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NS</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NS</w:t>
            </w:r>
          </w:p>
        </w:tc>
      </w:tr>
      <w:tr w:rsidR="00770542" w:rsidRPr="004A292E" w:rsidTr="00770542">
        <w:tc>
          <w:tcPr>
            <w:tcW w:w="1951" w:type="dxa"/>
            <w:vMerge w:val="restart"/>
            <w:tcBorders>
              <w:top w:val="single" w:sz="4" w:space="0" w:color="auto"/>
              <w:left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H</w:t>
            </w:r>
            <w:r w:rsidR="00E8671E" w:rsidRPr="004A292E">
              <w:rPr>
                <w:rFonts w:ascii="Arial" w:hAnsi="Arial"/>
                <w:sz w:val="16"/>
                <w:szCs w:val="16"/>
                <w:vertAlign w:val="subscript"/>
              </w:rPr>
              <w:t>2</w:t>
            </w:r>
            <w:r w:rsidRPr="004A292E">
              <w:rPr>
                <w:rFonts w:ascii="Arial" w:hAnsi="Arial"/>
                <w:sz w:val="16"/>
                <w:szCs w:val="16"/>
              </w:rPr>
              <w:t>: Teoría de la Jerarquización Financiera</w:t>
            </w:r>
          </w:p>
        </w:tc>
        <w:tc>
          <w:tcPr>
            <w:tcW w:w="2268"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Capitalización (</w:t>
            </w:r>
            <w:proofErr w:type="spellStart"/>
            <w:r w:rsidRPr="004A292E">
              <w:rPr>
                <w:rFonts w:ascii="Arial" w:hAnsi="Arial"/>
                <w:sz w:val="16"/>
                <w:szCs w:val="16"/>
              </w:rPr>
              <w:t>Capital+Reservas</w:t>
            </w:r>
            <w:proofErr w:type="spellEnd"/>
            <w:r w:rsidRPr="004A292E">
              <w:rPr>
                <w:rFonts w:ascii="Arial" w:hAnsi="Arial"/>
                <w:sz w:val="16"/>
                <w:szCs w:val="16"/>
              </w:rPr>
              <w:t>)/(</w:t>
            </w:r>
            <w:proofErr w:type="spellStart"/>
            <w:r w:rsidRPr="004A292E">
              <w:rPr>
                <w:rFonts w:ascii="Arial" w:hAnsi="Arial"/>
                <w:sz w:val="16"/>
                <w:szCs w:val="16"/>
              </w:rPr>
              <w:t>Pneto+Pasivo</w:t>
            </w:r>
            <w:proofErr w:type="spellEnd"/>
            <w:r w:rsidRPr="004A292E">
              <w:rPr>
                <w:rFonts w:ascii="Arial" w:hAnsi="Arial"/>
                <w:sz w:val="16"/>
                <w:szCs w:val="16"/>
              </w:rPr>
              <w:t>)</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r>
      <w:tr w:rsidR="00770542" w:rsidRPr="004A292E" w:rsidTr="00770542">
        <w:tc>
          <w:tcPr>
            <w:tcW w:w="1951" w:type="dxa"/>
            <w:vMerge/>
            <w:tcBorders>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p>
        </w:tc>
        <w:tc>
          <w:tcPr>
            <w:tcW w:w="2268"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 xml:space="preserve">Autofinanciación (Cash </w:t>
            </w:r>
            <w:proofErr w:type="spellStart"/>
            <w:r w:rsidRPr="004A292E">
              <w:rPr>
                <w:rFonts w:ascii="Arial" w:hAnsi="Arial"/>
                <w:sz w:val="16"/>
                <w:szCs w:val="16"/>
              </w:rPr>
              <w:t>flow</w:t>
            </w:r>
            <w:proofErr w:type="spellEnd"/>
            <w:r w:rsidRPr="004A292E">
              <w:rPr>
                <w:rFonts w:ascii="Arial" w:hAnsi="Arial"/>
                <w:sz w:val="16"/>
                <w:szCs w:val="16"/>
              </w:rPr>
              <w:t>/Inmovilizado material)</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r>
      <w:tr w:rsidR="00770542" w:rsidRPr="004A292E" w:rsidTr="00770542">
        <w:tc>
          <w:tcPr>
            <w:tcW w:w="195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H</w:t>
            </w:r>
            <w:r w:rsidR="00E8671E" w:rsidRPr="004A292E">
              <w:rPr>
                <w:rFonts w:ascii="Arial" w:hAnsi="Arial"/>
                <w:sz w:val="16"/>
                <w:szCs w:val="16"/>
                <w:vertAlign w:val="subscript"/>
              </w:rPr>
              <w:t>3</w:t>
            </w:r>
            <w:r w:rsidRPr="004A292E">
              <w:rPr>
                <w:rFonts w:ascii="Arial" w:hAnsi="Arial"/>
                <w:sz w:val="16"/>
                <w:szCs w:val="16"/>
              </w:rPr>
              <w:t>: Teoría de la agencia</w:t>
            </w:r>
          </w:p>
        </w:tc>
        <w:tc>
          <w:tcPr>
            <w:tcW w:w="2268"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Crecimiento ventas (</w:t>
            </w:r>
            <w:proofErr w:type="spellStart"/>
            <w:r w:rsidRPr="004A292E">
              <w:rPr>
                <w:rFonts w:ascii="Arial" w:hAnsi="Arial"/>
                <w:sz w:val="16"/>
                <w:szCs w:val="16"/>
              </w:rPr>
              <w:t>Ventas</w:t>
            </w:r>
            <w:r w:rsidRPr="004A292E">
              <w:rPr>
                <w:rFonts w:ascii="Arial" w:hAnsi="Arial"/>
                <w:sz w:val="16"/>
                <w:szCs w:val="16"/>
                <w:vertAlign w:val="subscript"/>
              </w:rPr>
              <w:t>N</w:t>
            </w:r>
            <w:proofErr w:type="spellEnd"/>
            <w:r w:rsidRPr="004A292E">
              <w:rPr>
                <w:rFonts w:ascii="Arial" w:hAnsi="Arial"/>
                <w:sz w:val="16"/>
                <w:szCs w:val="16"/>
              </w:rPr>
              <w:t>/Ventas</w:t>
            </w:r>
            <w:r w:rsidRPr="004A292E">
              <w:rPr>
                <w:rFonts w:ascii="Arial" w:hAnsi="Arial"/>
                <w:sz w:val="16"/>
                <w:szCs w:val="16"/>
                <w:vertAlign w:val="subscript"/>
              </w:rPr>
              <w:t>N-1</w:t>
            </w:r>
            <w:r w:rsidRPr="004A292E">
              <w:rPr>
                <w:rFonts w:ascii="Arial" w:hAnsi="Arial"/>
                <w:sz w:val="16"/>
                <w:szCs w:val="16"/>
              </w:rPr>
              <w:t>)</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NS</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r>
      <w:tr w:rsidR="00770542" w:rsidRPr="004A292E" w:rsidTr="00770542">
        <w:tc>
          <w:tcPr>
            <w:tcW w:w="1951" w:type="dxa"/>
            <w:vMerge w:val="restart"/>
            <w:tcBorders>
              <w:top w:val="single" w:sz="4" w:space="0" w:color="auto"/>
              <w:left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H</w:t>
            </w:r>
            <w:r w:rsidR="00E8671E" w:rsidRPr="004A292E">
              <w:rPr>
                <w:rFonts w:ascii="Arial" w:hAnsi="Arial"/>
                <w:sz w:val="16"/>
                <w:szCs w:val="16"/>
                <w:vertAlign w:val="subscript"/>
              </w:rPr>
              <w:t>4</w:t>
            </w:r>
            <w:r w:rsidRPr="004A292E">
              <w:rPr>
                <w:rFonts w:ascii="Arial" w:hAnsi="Arial"/>
                <w:sz w:val="16"/>
                <w:szCs w:val="16"/>
              </w:rPr>
              <w:t>: Emparejamiento por vencimientos</w:t>
            </w:r>
          </w:p>
        </w:tc>
        <w:tc>
          <w:tcPr>
            <w:tcW w:w="2268"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Composición del Activo (AC/AT)</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NS</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r>
      <w:tr w:rsidR="00770542" w:rsidRPr="004A292E" w:rsidTr="00770542">
        <w:tc>
          <w:tcPr>
            <w:tcW w:w="1951" w:type="dxa"/>
            <w:vMerge/>
            <w:tcBorders>
              <w:left w:val="single" w:sz="4" w:space="0" w:color="auto"/>
              <w:right w:val="single" w:sz="4" w:space="0" w:color="auto"/>
            </w:tcBorders>
          </w:tcPr>
          <w:p w:rsidR="00770542" w:rsidRPr="004A292E" w:rsidRDefault="00770542" w:rsidP="00770542">
            <w:pPr>
              <w:spacing w:line="276" w:lineRule="auto"/>
              <w:rPr>
                <w:rFonts w:ascii="Arial" w:hAnsi="Arial"/>
                <w:sz w:val="16"/>
                <w:szCs w:val="16"/>
              </w:rPr>
            </w:pPr>
          </w:p>
        </w:tc>
        <w:tc>
          <w:tcPr>
            <w:tcW w:w="2268"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Ratio de liquidez general (AC/PC)</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r>
      <w:tr w:rsidR="00770542" w:rsidRPr="004A292E" w:rsidTr="00770542">
        <w:tc>
          <w:tcPr>
            <w:tcW w:w="1951" w:type="dxa"/>
            <w:vMerge/>
            <w:tcBorders>
              <w:left w:val="single" w:sz="4" w:space="0" w:color="auto"/>
              <w:right w:val="single" w:sz="4" w:space="0" w:color="auto"/>
            </w:tcBorders>
          </w:tcPr>
          <w:p w:rsidR="00770542" w:rsidRPr="004A292E" w:rsidRDefault="00770542" w:rsidP="00770542">
            <w:pPr>
              <w:spacing w:line="276" w:lineRule="auto"/>
              <w:rPr>
                <w:rFonts w:ascii="Arial" w:hAnsi="Arial"/>
                <w:sz w:val="16"/>
                <w:szCs w:val="16"/>
              </w:rPr>
            </w:pPr>
          </w:p>
        </w:tc>
        <w:tc>
          <w:tcPr>
            <w:tcW w:w="2268"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Fondo de maniobra / PC</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jc w:val="center"/>
              <w:rPr>
                <w:rFonts w:ascii="Arial" w:hAnsi="Arial"/>
                <w:sz w:val="16"/>
                <w:szCs w:val="16"/>
              </w:rPr>
            </w:pPr>
            <w:r w:rsidRPr="004A292E">
              <w:rPr>
                <w:rFonts w:ascii="Arial" w:hAnsi="Arial"/>
                <w:sz w:val="16"/>
                <w:szCs w:val="16"/>
              </w:rPr>
              <w:t>(+)</w:t>
            </w:r>
          </w:p>
        </w:tc>
      </w:tr>
      <w:tr w:rsidR="00770542" w:rsidRPr="004A292E" w:rsidTr="00770542">
        <w:tc>
          <w:tcPr>
            <w:tcW w:w="1951" w:type="dxa"/>
            <w:vMerge/>
            <w:tcBorders>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p>
        </w:tc>
        <w:tc>
          <w:tcPr>
            <w:tcW w:w="2268"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Ratio de tesorería (</w:t>
            </w:r>
            <w:proofErr w:type="spellStart"/>
            <w:r w:rsidRPr="004A292E">
              <w:rPr>
                <w:rFonts w:ascii="Arial" w:hAnsi="Arial"/>
                <w:sz w:val="16"/>
                <w:szCs w:val="16"/>
              </w:rPr>
              <w:t>Realizable+Efectivo</w:t>
            </w:r>
            <w:proofErr w:type="spellEnd"/>
            <w:r w:rsidRPr="004A292E">
              <w:rPr>
                <w:rFonts w:ascii="Arial" w:hAnsi="Arial"/>
                <w:sz w:val="16"/>
                <w:szCs w:val="16"/>
              </w:rPr>
              <w:t>)/PC</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r>
      <w:tr w:rsidR="00770542" w:rsidRPr="004A292E" w:rsidTr="00770542">
        <w:tc>
          <w:tcPr>
            <w:tcW w:w="1951" w:type="dxa"/>
            <w:vMerge w:val="restart"/>
            <w:tcBorders>
              <w:top w:val="single" w:sz="4" w:space="0" w:color="auto"/>
              <w:left w:val="single" w:sz="4" w:space="0" w:color="auto"/>
              <w:right w:val="single" w:sz="4" w:space="0" w:color="auto"/>
            </w:tcBorders>
          </w:tcPr>
          <w:p w:rsidR="00770542" w:rsidRPr="004A292E" w:rsidRDefault="00770542" w:rsidP="00770542">
            <w:pPr>
              <w:spacing w:line="276" w:lineRule="auto"/>
              <w:rPr>
                <w:rFonts w:ascii="Arial" w:hAnsi="Arial"/>
                <w:sz w:val="16"/>
                <w:szCs w:val="16"/>
              </w:rPr>
            </w:pPr>
            <w:r w:rsidRPr="004A292E">
              <w:rPr>
                <w:rFonts w:ascii="Arial" w:hAnsi="Arial"/>
                <w:sz w:val="16"/>
                <w:szCs w:val="16"/>
              </w:rPr>
              <w:t>H</w:t>
            </w:r>
            <w:r w:rsidR="00E8671E" w:rsidRPr="004A292E">
              <w:rPr>
                <w:rFonts w:ascii="Arial" w:hAnsi="Arial"/>
                <w:sz w:val="16"/>
                <w:szCs w:val="16"/>
                <w:vertAlign w:val="subscript"/>
              </w:rPr>
              <w:t>5</w:t>
            </w:r>
            <w:r w:rsidRPr="004A292E">
              <w:rPr>
                <w:rFonts w:ascii="Arial" w:hAnsi="Arial"/>
                <w:sz w:val="16"/>
                <w:szCs w:val="16"/>
              </w:rPr>
              <w:t>: Existe relación entre el endeudamiento y la dimensión empresarial</w:t>
            </w:r>
          </w:p>
        </w:tc>
        <w:tc>
          <w:tcPr>
            <w:tcW w:w="2268"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vertAlign w:val="subscript"/>
              </w:rPr>
            </w:pPr>
            <w:r w:rsidRPr="004A292E">
              <w:rPr>
                <w:rFonts w:ascii="Arial" w:hAnsi="Arial"/>
                <w:sz w:val="16"/>
                <w:szCs w:val="16"/>
              </w:rPr>
              <w:t xml:space="preserve">Log. AT </w:t>
            </w:r>
            <w:r w:rsidRPr="004A292E">
              <w:rPr>
                <w:rFonts w:ascii="Arial" w:hAnsi="Arial"/>
                <w:sz w:val="16"/>
                <w:szCs w:val="16"/>
                <w:vertAlign w:val="subscript"/>
              </w:rPr>
              <w:t>N</w:t>
            </w:r>
          </w:p>
          <w:p w:rsidR="00770542" w:rsidRPr="004A292E" w:rsidRDefault="00770542" w:rsidP="00770542">
            <w:pPr>
              <w:spacing w:line="276" w:lineRule="auto"/>
              <w:rPr>
                <w:rFonts w:ascii="Arial" w:hAnsi="Arial"/>
                <w:sz w:val="16"/>
                <w:szCs w:val="16"/>
                <w:vertAlign w:val="subscript"/>
              </w:rPr>
            </w:pP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r>
      <w:tr w:rsidR="00770542" w:rsidRPr="004A292E" w:rsidTr="00770542">
        <w:tc>
          <w:tcPr>
            <w:tcW w:w="1951" w:type="dxa"/>
            <w:vMerge/>
            <w:tcBorders>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rPr>
            </w:pPr>
          </w:p>
        </w:tc>
        <w:tc>
          <w:tcPr>
            <w:tcW w:w="2268"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spacing w:line="276" w:lineRule="auto"/>
              <w:rPr>
                <w:rFonts w:ascii="Arial" w:hAnsi="Arial"/>
                <w:sz w:val="16"/>
                <w:szCs w:val="16"/>
                <w:vertAlign w:val="subscript"/>
              </w:rPr>
            </w:pPr>
            <w:r w:rsidRPr="004A292E">
              <w:rPr>
                <w:rFonts w:ascii="Arial" w:hAnsi="Arial"/>
                <w:sz w:val="16"/>
                <w:szCs w:val="16"/>
              </w:rPr>
              <w:t xml:space="preserve">Log. AT </w:t>
            </w:r>
            <w:r w:rsidRPr="004A292E">
              <w:rPr>
                <w:rFonts w:ascii="Arial" w:hAnsi="Arial"/>
                <w:sz w:val="16"/>
                <w:szCs w:val="16"/>
                <w:vertAlign w:val="subscript"/>
              </w:rPr>
              <w:t>(N-1)</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c>
          <w:tcPr>
            <w:tcW w:w="1701"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c>
          <w:tcPr>
            <w:tcW w:w="1665" w:type="dxa"/>
            <w:tcBorders>
              <w:top w:val="single" w:sz="4" w:space="0" w:color="auto"/>
              <w:left w:val="single" w:sz="4" w:space="0" w:color="auto"/>
              <w:bottom w:val="single" w:sz="4" w:space="0" w:color="auto"/>
              <w:right w:val="single" w:sz="4" w:space="0" w:color="auto"/>
            </w:tcBorders>
          </w:tcPr>
          <w:p w:rsidR="00770542" w:rsidRPr="004A292E" w:rsidRDefault="00770542" w:rsidP="00770542">
            <w:pPr>
              <w:jc w:val="center"/>
              <w:rPr>
                <w:rFonts w:ascii="Arial" w:hAnsi="Arial"/>
                <w:sz w:val="16"/>
                <w:szCs w:val="16"/>
              </w:rPr>
            </w:pPr>
            <w:r w:rsidRPr="004A292E">
              <w:rPr>
                <w:rFonts w:ascii="Arial" w:hAnsi="Arial"/>
                <w:sz w:val="16"/>
                <w:szCs w:val="16"/>
              </w:rPr>
              <w:t>NS</w:t>
            </w:r>
          </w:p>
        </w:tc>
      </w:tr>
    </w:tbl>
    <w:p w:rsidR="00770542" w:rsidRPr="00A95645" w:rsidRDefault="00770542" w:rsidP="00A95645">
      <w:pPr>
        <w:pStyle w:val="Prrafodelista"/>
        <w:spacing w:after="0" w:line="240" w:lineRule="auto"/>
        <w:ind w:left="0"/>
        <w:contextualSpacing w:val="0"/>
        <w:jc w:val="both"/>
        <w:rPr>
          <w:rFonts w:ascii="Arial" w:eastAsia="Times New Roman" w:hAnsi="Arial"/>
          <w:sz w:val="18"/>
          <w:szCs w:val="18"/>
          <w:lang w:val="es-ES" w:eastAsia="es-ES"/>
        </w:rPr>
      </w:pPr>
      <w:r w:rsidRPr="00A95645">
        <w:rPr>
          <w:rFonts w:ascii="Arial" w:eastAsia="Times New Roman" w:hAnsi="Arial"/>
          <w:sz w:val="18"/>
          <w:szCs w:val="18"/>
          <w:lang w:val="es-ES" w:eastAsia="es-ES"/>
        </w:rPr>
        <w:t>Nota: (NS): Variable no significativa en el análisis. (-): Variable significativa, con coeficiente negativo. (+): Variable significativa, con coeficiente positivo.</w:t>
      </w:r>
    </w:p>
    <w:p w:rsidR="00770542" w:rsidRPr="00A95645" w:rsidRDefault="00770542" w:rsidP="00A95645">
      <w:pPr>
        <w:pStyle w:val="Prrafodelista"/>
        <w:spacing w:after="0" w:line="240" w:lineRule="auto"/>
        <w:ind w:left="0"/>
        <w:contextualSpacing w:val="0"/>
        <w:jc w:val="both"/>
        <w:rPr>
          <w:rFonts w:ascii="Arial" w:eastAsia="Times New Roman" w:hAnsi="Arial"/>
          <w:sz w:val="18"/>
          <w:szCs w:val="18"/>
          <w:lang w:val="es-ES" w:eastAsia="es-ES"/>
        </w:rPr>
      </w:pPr>
      <w:r w:rsidRPr="00A95645">
        <w:rPr>
          <w:rFonts w:ascii="Arial" w:eastAsia="Times New Roman" w:hAnsi="Arial"/>
          <w:sz w:val="18"/>
          <w:szCs w:val="18"/>
          <w:lang w:val="es-ES" w:eastAsia="es-ES"/>
        </w:rPr>
        <w:t>Fuente: Elaboración propia.</w:t>
      </w:r>
    </w:p>
    <w:p w:rsidR="00A95645" w:rsidRPr="006C2C17" w:rsidRDefault="00A95645" w:rsidP="006C2C17">
      <w:pPr>
        <w:jc w:val="both"/>
        <w:rPr>
          <w:rFonts w:ascii="Arial" w:hAnsi="Arial"/>
          <w:sz w:val="20"/>
          <w:szCs w:val="20"/>
        </w:rPr>
      </w:pPr>
    </w:p>
    <w:p w:rsidR="00770542" w:rsidRDefault="006C2C17" w:rsidP="00A95645">
      <w:pPr>
        <w:pStyle w:val="Prrafodelista"/>
        <w:spacing w:after="0" w:line="240" w:lineRule="auto"/>
        <w:ind w:left="0" w:firstLine="567"/>
        <w:contextualSpacing w:val="0"/>
        <w:jc w:val="both"/>
        <w:rPr>
          <w:rFonts w:ascii="Arial" w:hAnsi="Arial"/>
          <w:sz w:val="20"/>
          <w:szCs w:val="20"/>
        </w:rPr>
      </w:pPr>
      <w:r>
        <w:rPr>
          <w:rFonts w:ascii="Arial" w:hAnsi="Arial"/>
          <w:sz w:val="20"/>
          <w:szCs w:val="20"/>
        </w:rPr>
        <w:t>Los resultados p</w:t>
      </w:r>
      <w:r w:rsidR="00770542" w:rsidRPr="00A95645">
        <w:rPr>
          <w:rFonts w:ascii="Arial" w:hAnsi="Arial"/>
          <w:sz w:val="20"/>
          <w:szCs w:val="20"/>
        </w:rPr>
        <w:t>arece</w:t>
      </w:r>
      <w:r>
        <w:rPr>
          <w:rFonts w:ascii="Arial" w:hAnsi="Arial"/>
          <w:sz w:val="20"/>
          <w:szCs w:val="20"/>
        </w:rPr>
        <w:t>n verificar</w:t>
      </w:r>
      <w:r w:rsidR="00770542" w:rsidRPr="00A95645">
        <w:rPr>
          <w:rFonts w:ascii="Arial" w:hAnsi="Arial"/>
          <w:sz w:val="20"/>
          <w:szCs w:val="20"/>
        </w:rPr>
        <w:t xml:space="preserve"> la </w:t>
      </w:r>
      <w:r w:rsidR="00770542" w:rsidRPr="006C2C17">
        <w:rPr>
          <w:rFonts w:ascii="Arial" w:hAnsi="Arial"/>
          <w:i/>
          <w:sz w:val="20"/>
          <w:szCs w:val="20"/>
        </w:rPr>
        <w:t xml:space="preserve">Teoría del Óptimo financiero </w:t>
      </w:r>
      <w:r w:rsidR="00770542" w:rsidRPr="00A95645">
        <w:rPr>
          <w:rFonts w:ascii="Arial" w:hAnsi="Arial"/>
          <w:sz w:val="20"/>
          <w:szCs w:val="20"/>
        </w:rPr>
        <w:t xml:space="preserve">únicamente en el caso del endeudamiento total, es decir, una correlación inversa entre los gastos de amortización y la cantidad de deuda, lo que se podría interpretar como </w:t>
      </w:r>
      <w:r>
        <w:rPr>
          <w:rFonts w:ascii="Arial" w:hAnsi="Arial"/>
          <w:sz w:val="20"/>
          <w:szCs w:val="20"/>
        </w:rPr>
        <w:t xml:space="preserve">que </w:t>
      </w:r>
      <w:r w:rsidR="00770542" w:rsidRPr="00A95645">
        <w:rPr>
          <w:rFonts w:ascii="Arial" w:hAnsi="Arial"/>
          <w:sz w:val="20"/>
          <w:szCs w:val="20"/>
        </w:rPr>
        <w:t xml:space="preserve">la utilización de la deuda por </w:t>
      </w:r>
      <w:r>
        <w:rPr>
          <w:rFonts w:ascii="Arial" w:hAnsi="Arial"/>
          <w:sz w:val="20"/>
          <w:szCs w:val="20"/>
        </w:rPr>
        <w:t>las entidades de la muestra representa</w:t>
      </w:r>
      <w:r w:rsidR="00770542" w:rsidRPr="00A95645">
        <w:rPr>
          <w:rFonts w:ascii="Arial" w:hAnsi="Arial"/>
          <w:sz w:val="20"/>
          <w:szCs w:val="20"/>
        </w:rPr>
        <w:t xml:space="preserve"> </w:t>
      </w:r>
      <w:r>
        <w:rPr>
          <w:rFonts w:ascii="Arial" w:hAnsi="Arial"/>
          <w:sz w:val="20"/>
          <w:szCs w:val="20"/>
        </w:rPr>
        <w:t xml:space="preserve">una forma de </w:t>
      </w:r>
      <w:r w:rsidR="00770542" w:rsidRPr="00A95645">
        <w:rPr>
          <w:rFonts w:ascii="Arial" w:hAnsi="Arial"/>
          <w:sz w:val="20"/>
          <w:szCs w:val="20"/>
        </w:rPr>
        <w:t xml:space="preserve">incentivo fiscal. </w:t>
      </w:r>
    </w:p>
    <w:p w:rsidR="00A95645" w:rsidRPr="00A95645" w:rsidRDefault="00A95645" w:rsidP="00A95645">
      <w:pPr>
        <w:pStyle w:val="Prrafodelista"/>
        <w:spacing w:after="0" w:line="240" w:lineRule="auto"/>
        <w:ind w:left="0" w:firstLine="567"/>
        <w:contextualSpacing w:val="0"/>
        <w:jc w:val="both"/>
        <w:rPr>
          <w:rFonts w:ascii="Arial" w:hAnsi="Arial"/>
          <w:sz w:val="20"/>
          <w:szCs w:val="20"/>
        </w:rPr>
      </w:pPr>
    </w:p>
    <w:p w:rsidR="00770542" w:rsidRDefault="00770542"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sidRPr="00A95645">
        <w:rPr>
          <w:rFonts w:ascii="Arial" w:hAnsi="Arial"/>
          <w:sz w:val="20"/>
          <w:szCs w:val="20"/>
        </w:rPr>
        <w:t xml:space="preserve">Por otra parte, y como era previsible, las variables relativas a la autofinanciación no resultan significativas en ninguno de los modelos, lo que parece contradecir el cumplimiento de la </w:t>
      </w:r>
      <w:r w:rsidRPr="006C2C17">
        <w:rPr>
          <w:rFonts w:ascii="Arial" w:hAnsi="Arial"/>
          <w:i/>
          <w:sz w:val="20"/>
          <w:szCs w:val="20"/>
        </w:rPr>
        <w:t>Teoría de la Jerarquización financiera</w:t>
      </w:r>
      <w:r w:rsidR="00E8671E">
        <w:rPr>
          <w:rFonts w:ascii="Arial" w:hAnsi="Arial"/>
          <w:sz w:val="20"/>
          <w:szCs w:val="20"/>
        </w:rPr>
        <w:t xml:space="preserve"> en las cooperativas</w:t>
      </w:r>
      <w:r w:rsidRPr="00A95645">
        <w:rPr>
          <w:rFonts w:ascii="Arial" w:hAnsi="Arial"/>
          <w:sz w:val="20"/>
          <w:szCs w:val="20"/>
        </w:rPr>
        <w:t xml:space="preserve"> de la muestra. Sí que resultan significativos sin embargo los coeficientes de la variable de capitalización de la entidad, en los tres modelos de regresión y con signo negativo en todos los casos. Estos resultados apuntan, como ya se había indicado, a una escasa cultura de autofinanciación al primar las sociedades cooperativas un objetivo inmediato de liquidación a los socios. Las fuentes de financiación utilizadas son fuentes externas, tanto propias como ajenas, pero en cualquier caso y evidentemente, inversamente relacionadas.</w:t>
      </w:r>
      <w:r w:rsidRPr="00A95645">
        <w:rPr>
          <w:rFonts w:ascii="Arial" w:eastAsia="Times New Roman" w:hAnsi="Arial"/>
          <w:sz w:val="20"/>
          <w:szCs w:val="20"/>
          <w:lang w:val="es-ES" w:eastAsia="es-ES"/>
        </w:rPr>
        <w:t xml:space="preserve"> En este sentido, y por lo que se refiere a la capitalización de las sociedades cooperativas, cabría mencionar tres aspectos de notable relevancia: el tradicional problema de la infra-capitalización de estas entidades, la incidencia de la protección pública a través de las subvenciones y el tratamiento que recibe el capital social cooperativo por la normativa contable.</w:t>
      </w:r>
    </w:p>
    <w:p w:rsidR="00A95645" w:rsidRPr="00A95645" w:rsidRDefault="00A95645" w:rsidP="00A95645">
      <w:pPr>
        <w:pStyle w:val="Prrafodelista"/>
        <w:spacing w:after="0" w:line="240" w:lineRule="auto"/>
        <w:ind w:left="0" w:firstLine="567"/>
        <w:contextualSpacing w:val="0"/>
        <w:jc w:val="both"/>
        <w:rPr>
          <w:rFonts w:ascii="Arial" w:eastAsia="Times New Roman" w:hAnsi="Arial"/>
          <w:sz w:val="20"/>
          <w:szCs w:val="20"/>
          <w:lang w:val="es-ES" w:eastAsia="es-ES"/>
        </w:rPr>
      </w:pPr>
    </w:p>
    <w:p w:rsidR="00770542" w:rsidRDefault="00770542" w:rsidP="00A95645">
      <w:pPr>
        <w:pStyle w:val="Prrafodelista"/>
        <w:spacing w:after="0" w:line="240" w:lineRule="auto"/>
        <w:ind w:left="0" w:firstLine="567"/>
        <w:contextualSpacing w:val="0"/>
        <w:jc w:val="both"/>
        <w:rPr>
          <w:rFonts w:ascii="Arial" w:hAnsi="Arial"/>
          <w:sz w:val="20"/>
          <w:szCs w:val="20"/>
        </w:rPr>
      </w:pPr>
      <w:r w:rsidRPr="00A95645">
        <w:rPr>
          <w:rFonts w:ascii="Arial" w:hAnsi="Arial"/>
          <w:sz w:val="20"/>
          <w:szCs w:val="20"/>
        </w:rPr>
        <w:t xml:space="preserve">Tampoco los resultados empíricos obtenidos arrojan evidencia sobre la existencia de una relación significativa entre el </w:t>
      </w:r>
      <w:r w:rsidRPr="006C2C17">
        <w:rPr>
          <w:rFonts w:ascii="Arial" w:hAnsi="Arial"/>
          <w:i/>
          <w:sz w:val="20"/>
          <w:szCs w:val="20"/>
        </w:rPr>
        <w:t>tamaño</w:t>
      </w:r>
      <w:r w:rsidRPr="00A95645">
        <w:rPr>
          <w:rFonts w:ascii="Arial" w:hAnsi="Arial"/>
          <w:sz w:val="20"/>
          <w:szCs w:val="20"/>
        </w:rPr>
        <w:t xml:space="preserve"> de la entidad y su estructura financiera. Aunque las teorías de carácter general sí parecen decantarse hacia una relación positiva entre ambos, los trabajos centrados en las sociedades cooperativas no han sido capaces de corroborar esta hipótesis, como sucede en este caso.</w:t>
      </w:r>
    </w:p>
    <w:p w:rsidR="00A95645" w:rsidRPr="00A95645" w:rsidRDefault="00A95645" w:rsidP="00A95645">
      <w:pPr>
        <w:pStyle w:val="Prrafodelista"/>
        <w:spacing w:after="0" w:line="240" w:lineRule="auto"/>
        <w:ind w:left="0" w:firstLine="567"/>
        <w:contextualSpacing w:val="0"/>
        <w:jc w:val="both"/>
        <w:rPr>
          <w:rFonts w:ascii="Arial" w:hAnsi="Arial"/>
          <w:sz w:val="20"/>
          <w:szCs w:val="20"/>
        </w:rPr>
      </w:pPr>
    </w:p>
    <w:p w:rsidR="00770542" w:rsidRDefault="00770542"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sidRPr="00A95645">
        <w:rPr>
          <w:rFonts w:ascii="Arial" w:eastAsia="Times New Roman" w:hAnsi="Arial"/>
          <w:sz w:val="20"/>
          <w:szCs w:val="20"/>
          <w:lang w:val="es-ES" w:eastAsia="es-ES"/>
        </w:rPr>
        <w:t>El resultado obtenido en el análisis de regresión realizado tomando como variable el ratio de endeudamiento pone de manifiesto que éste depende de la liquidez, el grado de capitalización y el peso de las amortizaciones en el conjunto de los gastos del ejercicio. Tal como s</w:t>
      </w:r>
      <w:r w:rsidR="002E14E4">
        <w:rPr>
          <w:rFonts w:ascii="Arial" w:eastAsia="Times New Roman" w:hAnsi="Arial"/>
          <w:sz w:val="20"/>
          <w:szCs w:val="20"/>
          <w:lang w:val="es-ES" w:eastAsia="es-ES"/>
        </w:rPr>
        <w:t>e puede comprobar en el Cuadro 8</w:t>
      </w:r>
      <w:r w:rsidRPr="00A95645">
        <w:rPr>
          <w:rFonts w:ascii="Arial" w:eastAsia="Times New Roman" w:hAnsi="Arial"/>
          <w:sz w:val="20"/>
          <w:szCs w:val="20"/>
          <w:lang w:val="es-ES" w:eastAsia="es-ES"/>
        </w:rPr>
        <w:t>, las tres variables obtienen coeficientes negativos en el análisis, lo que indica que existe una relación inversa, es decir que tal como era de esperar, ratios de liquidez elevados y un grado de capitalización importante se traducen en una menor dependencia de la financiación externa.</w:t>
      </w:r>
    </w:p>
    <w:p w:rsidR="00770542" w:rsidRPr="00A95645" w:rsidRDefault="002E14E4" w:rsidP="00A95645">
      <w:pPr>
        <w:pStyle w:val="Numeracindetablasyfiguras"/>
        <w:spacing w:before="0"/>
        <w:rPr>
          <w:rFonts w:ascii="Arial" w:hAnsi="Arial"/>
          <w:szCs w:val="20"/>
        </w:rPr>
      </w:pPr>
      <w:r>
        <w:rPr>
          <w:rFonts w:ascii="Arial" w:hAnsi="Arial"/>
          <w:szCs w:val="20"/>
        </w:rPr>
        <w:lastRenderedPageBreak/>
        <w:t>CUADRO 8</w:t>
      </w:r>
    </w:p>
    <w:p w:rsidR="00770542" w:rsidRPr="00A95645" w:rsidRDefault="00770542" w:rsidP="00A95645">
      <w:pPr>
        <w:pStyle w:val="Ttulodetablasyfiguras"/>
        <w:spacing w:after="0"/>
        <w:rPr>
          <w:rFonts w:ascii="Arial" w:hAnsi="Arial"/>
          <w:b w:val="0"/>
          <w:szCs w:val="20"/>
        </w:rPr>
      </w:pPr>
      <w:r w:rsidRPr="00A95645">
        <w:rPr>
          <w:rFonts w:ascii="Arial" w:hAnsi="Arial"/>
          <w:b w:val="0"/>
          <w:szCs w:val="20"/>
        </w:rPr>
        <w:t>Endeudamiento</w:t>
      </w:r>
    </w:p>
    <w:tbl>
      <w:tblPr>
        <w:tblW w:w="6410" w:type="dxa"/>
        <w:jc w:val="center"/>
        <w:tblInd w:w="9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792"/>
        <w:gridCol w:w="1618"/>
        <w:gridCol w:w="992"/>
        <w:gridCol w:w="1134"/>
        <w:gridCol w:w="993"/>
        <w:gridCol w:w="881"/>
      </w:tblGrid>
      <w:tr w:rsidR="00770542" w:rsidRPr="004A292E" w:rsidTr="004A292E">
        <w:trPr>
          <w:cantSplit/>
          <w:trHeight w:val="392"/>
          <w:tblHeader/>
          <w:jc w:val="center"/>
        </w:trPr>
        <w:tc>
          <w:tcPr>
            <w:tcW w:w="241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rPr>
                <w:rFonts w:ascii="Arial" w:hAnsi="Arial" w:cs="Times New Roman"/>
                <w:b/>
                <w:sz w:val="16"/>
                <w:szCs w:val="16"/>
              </w:rPr>
            </w:pPr>
            <w:r w:rsidRPr="004A292E">
              <w:rPr>
                <w:rFonts w:ascii="Arial" w:hAnsi="Arial" w:cs="Times New Roman"/>
                <w:b/>
                <w:sz w:val="16"/>
                <w:szCs w:val="16"/>
              </w:rPr>
              <w:t>Modelo</w:t>
            </w:r>
          </w:p>
        </w:tc>
        <w:tc>
          <w:tcPr>
            <w:tcW w:w="2126"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sz w:val="16"/>
                <w:szCs w:val="16"/>
              </w:rPr>
            </w:pPr>
            <w:r w:rsidRPr="004A292E">
              <w:rPr>
                <w:rFonts w:ascii="Arial" w:hAnsi="Arial" w:cs="Times New Roman"/>
                <w:b/>
                <w:sz w:val="16"/>
                <w:szCs w:val="16"/>
              </w:rPr>
              <w:t>Coeficientes no estandarizados</w:t>
            </w:r>
          </w:p>
        </w:tc>
        <w:tc>
          <w:tcPr>
            <w:tcW w:w="993"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sz w:val="16"/>
                <w:szCs w:val="16"/>
              </w:rPr>
            </w:pPr>
            <w:r w:rsidRPr="004A292E">
              <w:rPr>
                <w:rFonts w:ascii="Arial" w:hAnsi="Arial" w:cs="Times New Roman"/>
                <w:b/>
                <w:sz w:val="16"/>
                <w:szCs w:val="16"/>
              </w:rPr>
              <w:t>t</w:t>
            </w:r>
          </w:p>
        </w:tc>
        <w:tc>
          <w:tcPr>
            <w:tcW w:w="881"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sz w:val="16"/>
                <w:szCs w:val="16"/>
              </w:rPr>
            </w:pPr>
            <w:r w:rsidRPr="004A292E">
              <w:rPr>
                <w:rFonts w:ascii="Arial" w:hAnsi="Arial" w:cs="Times New Roman"/>
                <w:b/>
                <w:sz w:val="16"/>
                <w:szCs w:val="16"/>
              </w:rPr>
              <w:t>Sig.</w:t>
            </w:r>
          </w:p>
        </w:tc>
      </w:tr>
      <w:tr w:rsidR="00770542" w:rsidRPr="004A292E" w:rsidTr="004A292E">
        <w:trPr>
          <w:cantSplit/>
          <w:trHeight w:val="218"/>
          <w:tblHeader/>
          <w:jc w:val="center"/>
        </w:trPr>
        <w:tc>
          <w:tcPr>
            <w:tcW w:w="2410"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rPr>
                <w:rFonts w:ascii="Arial" w:hAnsi="Arial" w:cs="Times New Roman"/>
                <w:sz w:val="16"/>
                <w:szCs w:val="16"/>
              </w:rPr>
            </w:pPr>
          </w:p>
        </w:tc>
        <w:tc>
          <w:tcPr>
            <w:tcW w:w="992"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i/>
                <w:sz w:val="16"/>
                <w:szCs w:val="16"/>
              </w:rPr>
            </w:pPr>
            <w:r w:rsidRPr="004A292E">
              <w:rPr>
                <w:rFonts w:ascii="Arial" w:hAnsi="Arial" w:cs="Times New Roman"/>
                <w:b/>
                <w:i/>
                <w:sz w:val="16"/>
                <w:szCs w:val="16"/>
              </w:rPr>
              <w:t>B</w:t>
            </w:r>
          </w:p>
        </w:tc>
        <w:tc>
          <w:tcPr>
            <w:tcW w:w="1134" w:type="dxa"/>
            <w:tcBorders>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i/>
                <w:sz w:val="16"/>
                <w:szCs w:val="16"/>
              </w:rPr>
            </w:pPr>
            <w:r w:rsidRPr="004A292E">
              <w:rPr>
                <w:rFonts w:ascii="Arial" w:hAnsi="Arial" w:cs="Times New Roman"/>
                <w:b/>
                <w:i/>
                <w:sz w:val="16"/>
                <w:szCs w:val="16"/>
              </w:rPr>
              <w:t xml:space="preserve">Error </w:t>
            </w:r>
            <w:proofErr w:type="spellStart"/>
            <w:r w:rsidRPr="004A292E">
              <w:rPr>
                <w:rFonts w:ascii="Arial" w:hAnsi="Arial" w:cs="Times New Roman"/>
                <w:b/>
                <w:i/>
                <w:sz w:val="16"/>
                <w:szCs w:val="16"/>
              </w:rPr>
              <w:t>típ</w:t>
            </w:r>
            <w:proofErr w:type="spellEnd"/>
            <w:r w:rsidRPr="004A292E">
              <w:rPr>
                <w:rFonts w:ascii="Arial" w:hAnsi="Arial" w:cs="Times New Roman"/>
                <w:b/>
                <w:i/>
                <w:sz w:val="16"/>
                <w:szCs w:val="16"/>
              </w:rPr>
              <w:t>.</w:t>
            </w:r>
          </w:p>
        </w:tc>
        <w:tc>
          <w:tcPr>
            <w:tcW w:w="993"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rPr>
                <w:rFonts w:ascii="Arial" w:hAnsi="Arial" w:cs="Times New Roman"/>
                <w:sz w:val="16"/>
                <w:szCs w:val="16"/>
              </w:rPr>
            </w:pPr>
          </w:p>
        </w:tc>
        <w:tc>
          <w:tcPr>
            <w:tcW w:w="881"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rPr>
                <w:rFonts w:ascii="Arial" w:hAnsi="Arial" w:cs="Times New Roman"/>
                <w:sz w:val="16"/>
                <w:szCs w:val="16"/>
              </w:rPr>
            </w:pPr>
          </w:p>
        </w:tc>
      </w:tr>
      <w:tr w:rsidR="00770542" w:rsidRPr="004A292E" w:rsidTr="00770542">
        <w:trPr>
          <w:cantSplit/>
          <w:tblHeader/>
          <w:jc w:val="center"/>
        </w:trPr>
        <w:tc>
          <w:tcPr>
            <w:tcW w:w="792"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1</w:t>
            </w:r>
          </w:p>
        </w:tc>
        <w:tc>
          <w:tcPr>
            <w:tcW w:w="1618"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(Constante)</w:t>
            </w:r>
          </w:p>
        </w:tc>
        <w:tc>
          <w:tcPr>
            <w:tcW w:w="992"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,937</w:t>
            </w:r>
          </w:p>
        </w:tc>
        <w:tc>
          <w:tcPr>
            <w:tcW w:w="1134" w:type="dxa"/>
            <w:tcBorders>
              <w:top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,015</w:t>
            </w:r>
          </w:p>
        </w:tc>
        <w:tc>
          <w:tcPr>
            <w:tcW w:w="993" w:type="dxa"/>
            <w:tcBorders>
              <w:top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60,492</w:t>
            </w:r>
          </w:p>
        </w:tc>
        <w:tc>
          <w:tcPr>
            <w:tcW w:w="881" w:type="dxa"/>
            <w:tcBorders>
              <w:top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9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sz w:val="16"/>
                <w:szCs w:val="16"/>
              </w:rPr>
            </w:pPr>
          </w:p>
        </w:tc>
        <w:tc>
          <w:tcPr>
            <w:tcW w:w="1618" w:type="dxa"/>
            <w:tcBorders>
              <w:top w:val="nil"/>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Liq.2</w:t>
            </w:r>
          </w:p>
        </w:tc>
        <w:tc>
          <w:tcPr>
            <w:tcW w:w="992" w:type="dxa"/>
            <w:tcBorders>
              <w:top w:val="nil"/>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-,006</w:t>
            </w:r>
          </w:p>
        </w:tc>
        <w:tc>
          <w:tcPr>
            <w:tcW w:w="1134"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,002</w:t>
            </w:r>
          </w:p>
        </w:tc>
        <w:tc>
          <w:tcPr>
            <w:tcW w:w="993"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-3,622</w:t>
            </w:r>
          </w:p>
        </w:tc>
        <w:tc>
          <w:tcPr>
            <w:tcW w:w="881"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9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Times New Roman"/>
                <w:sz w:val="16"/>
                <w:szCs w:val="16"/>
              </w:rPr>
            </w:pPr>
          </w:p>
        </w:tc>
        <w:tc>
          <w:tcPr>
            <w:tcW w:w="1618" w:type="dxa"/>
            <w:tcBorders>
              <w:top w:val="nil"/>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proofErr w:type="spellStart"/>
            <w:r w:rsidRPr="004A292E">
              <w:rPr>
                <w:rFonts w:ascii="Arial" w:hAnsi="Arial" w:cs="Times New Roman"/>
                <w:sz w:val="16"/>
                <w:szCs w:val="16"/>
              </w:rPr>
              <w:t>Capit</w:t>
            </w:r>
            <w:proofErr w:type="spellEnd"/>
            <w:r w:rsidRPr="004A292E">
              <w:rPr>
                <w:rFonts w:ascii="Arial" w:hAnsi="Arial" w:cs="Times New Roman"/>
                <w:sz w:val="16"/>
                <w:szCs w:val="16"/>
              </w:rPr>
              <w:t>.</w:t>
            </w:r>
          </w:p>
        </w:tc>
        <w:tc>
          <w:tcPr>
            <w:tcW w:w="992" w:type="dxa"/>
            <w:tcBorders>
              <w:top w:val="nil"/>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-,949</w:t>
            </w:r>
          </w:p>
        </w:tc>
        <w:tc>
          <w:tcPr>
            <w:tcW w:w="1134"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,037</w:t>
            </w:r>
          </w:p>
        </w:tc>
        <w:tc>
          <w:tcPr>
            <w:tcW w:w="993"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-25,400</w:t>
            </w:r>
          </w:p>
        </w:tc>
        <w:tc>
          <w:tcPr>
            <w:tcW w:w="881"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92"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Times New Roman"/>
                <w:sz w:val="16"/>
                <w:szCs w:val="16"/>
              </w:rPr>
            </w:pPr>
          </w:p>
        </w:tc>
        <w:tc>
          <w:tcPr>
            <w:tcW w:w="1618"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proofErr w:type="spellStart"/>
            <w:r w:rsidRPr="004A292E">
              <w:rPr>
                <w:rFonts w:ascii="Arial" w:hAnsi="Arial" w:cs="Times New Roman"/>
                <w:sz w:val="16"/>
                <w:szCs w:val="16"/>
              </w:rPr>
              <w:t>Amort</w:t>
            </w:r>
            <w:proofErr w:type="spellEnd"/>
            <w:r w:rsidRPr="004A292E">
              <w:rPr>
                <w:rFonts w:ascii="Arial" w:hAnsi="Arial" w:cs="Times New Roman"/>
                <w:sz w:val="16"/>
                <w:szCs w:val="16"/>
              </w:rPr>
              <w:t>.</w:t>
            </w:r>
          </w:p>
        </w:tc>
        <w:tc>
          <w:tcPr>
            <w:tcW w:w="992"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-,184</w:t>
            </w:r>
          </w:p>
        </w:tc>
        <w:tc>
          <w:tcPr>
            <w:tcW w:w="1134" w:type="dxa"/>
            <w:tcBorders>
              <w:top w:val="nil"/>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,093</w:t>
            </w:r>
          </w:p>
        </w:tc>
        <w:tc>
          <w:tcPr>
            <w:tcW w:w="993" w:type="dxa"/>
            <w:tcBorders>
              <w:top w:val="nil"/>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-1,976</w:t>
            </w:r>
          </w:p>
        </w:tc>
        <w:tc>
          <w:tcPr>
            <w:tcW w:w="881" w:type="dxa"/>
            <w:tcBorders>
              <w:top w:val="nil"/>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,050</w:t>
            </w:r>
          </w:p>
        </w:tc>
      </w:tr>
    </w:tbl>
    <w:p w:rsidR="00770542" w:rsidRPr="00A95645" w:rsidRDefault="00770542" w:rsidP="006C2C17">
      <w:pPr>
        <w:pStyle w:val="Prrafodelista"/>
        <w:spacing w:after="0" w:line="240" w:lineRule="auto"/>
        <w:ind w:left="0" w:firstLine="1134"/>
        <w:contextualSpacing w:val="0"/>
        <w:jc w:val="both"/>
        <w:rPr>
          <w:rFonts w:ascii="Arial" w:eastAsia="Times New Roman" w:hAnsi="Arial"/>
          <w:sz w:val="18"/>
          <w:szCs w:val="18"/>
          <w:lang w:val="es-ES" w:eastAsia="es-ES"/>
        </w:rPr>
      </w:pPr>
      <w:r w:rsidRPr="00A95645">
        <w:rPr>
          <w:rFonts w:ascii="Arial" w:eastAsia="Times New Roman" w:hAnsi="Arial"/>
          <w:sz w:val="18"/>
          <w:szCs w:val="18"/>
          <w:lang w:val="es-ES" w:eastAsia="es-ES"/>
        </w:rPr>
        <w:t>Fuente: Elaboración propia.</w:t>
      </w:r>
    </w:p>
    <w:p w:rsidR="00770542" w:rsidRDefault="00770542" w:rsidP="00A95645">
      <w:pPr>
        <w:pStyle w:val="Prrafodelista"/>
        <w:spacing w:after="0" w:line="240" w:lineRule="auto"/>
        <w:ind w:left="0" w:firstLine="567"/>
        <w:contextualSpacing w:val="0"/>
        <w:jc w:val="both"/>
        <w:rPr>
          <w:rFonts w:ascii="Arial" w:hAnsi="Arial"/>
          <w:sz w:val="20"/>
          <w:szCs w:val="20"/>
        </w:rPr>
      </w:pPr>
      <w:r w:rsidRPr="00A95645">
        <w:rPr>
          <w:rFonts w:ascii="Arial" w:eastAsia="Times New Roman" w:hAnsi="Arial"/>
          <w:sz w:val="20"/>
          <w:szCs w:val="20"/>
          <w:lang w:val="es-ES" w:eastAsia="es-ES"/>
        </w:rPr>
        <w:t>Si atendemos a las variables que explican la composición del endeud</w:t>
      </w:r>
      <w:r w:rsidR="00A95645">
        <w:rPr>
          <w:rFonts w:ascii="Arial" w:eastAsia="Times New Roman" w:hAnsi="Arial"/>
          <w:sz w:val="20"/>
          <w:szCs w:val="20"/>
          <w:lang w:val="es-ES" w:eastAsia="es-ES"/>
        </w:rPr>
        <w:t>amiento a corto plazo</w:t>
      </w:r>
      <w:r w:rsidR="00A95645" w:rsidRPr="00A95645">
        <w:rPr>
          <w:rFonts w:ascii="Arial" w:eastAsia="Times New Roman" w:hAnsi="Arial"/>
          <w:sz w:val="20"/>
          <w:szCs w:val="20"/>
          <w:lang w:val="es-ES" w:eastAsia="es-ES"/>
        </w:rPr>
        <w:t xml:space="preserve"> </w:t>
      </w:r>
      <w:r w:rsidR="00A95645">
        <w:rPr>
          <w:rFonts w:ascii="Arial" w:eastAsia="Times New Roman" w:hAnsi="Arial"/>
          <w:sz w:val="20"/>
          <w:szCs w:val="20"/>
          <w:lang w:val="es-ES" w:eastAsia="es-ES"/>
        </w:rPr>
        <w:t>(</w:t>
      </w:r>
      <w:r w:rsidR="002E14E4">
        <w:rPr>
          <w:rFonts w:ascii="Arial" w:eastAsia="Times New Roman" w:hAnsi="Arial"/>
          <w:sz w:val="20"/>
          <w:szCs w:val="20"/>
          <w:lang w:val="es-ES" w:eastAsia="es-ES"/>
        </w:rPr>
        <w:t>Cuadro 9</w:t>
      </w:r>
      <w:r w:rsidR="00A95645">
        <w:rPr>
          <w:rFonts w:ascii="Arial" w:eastAsia="Times New Roman" w:hAnsi="Arial"/>
          <w:sz w:val="20"/>
          <w:szCs w:val="20"/>
          <w:lang w:val="es-ES" w:eastAsia="es-ES"/>
        </w:rPr>
        <w:t>),</w:t>
      </w:r>
      <w:r w:rsidRPr="00A95645">
        <w:rPr>
          <w:rFonts w:ascii="Arial" w:eastAsia="Times New Roman" w:hAnsi="Arial"/>
          <w:sz w:val="20"/>
          <w:szCs w:val="20"/>
          <w:lang w:val="es-ES" w:eastAsia="es-ES"/>
        </w:rPr>
        <w:t xml:space="preserve"> hay que destacar la relación positiva que se pone de manifiesto tanto en el caso de la rotación del activo total como en la composición del activo, lo que corrobora la hipótesis </w:t>
      </w:r>
      <w:r w:rsidRPr="00A95645">
        <w:rPr>
          <w:rFonts w:ascii="Arial" w:hAnsi="Arial"/>
          <w:sz w:val="20"/>
          <w:szCs w:val="20"/>
        </w:rPr>
        <w:t>del emparejamiento por vencimientos (</w:t>
      </w:r>
      <w:r w:rsidRPr="00A95645">
        <w:rPr>
          <w:rFonts w:ascii="Arial" w:hAnsi="Arial"/>
          <w:i/>
          <w:sz w:val="20"/>
          <w:szCs w:val="20"/>
        </w:rPr>
        <w:t>“</w:t>
      </w:r>
      <w:proofErr w:type="spellStart"/>
      <w:r w:rsidRPr="00A95645">
        <w:rPr>
          <w:rFonts w:ascii="Arial" w:hAnsi="Arial"/>
          <w:i/>
          <w:sz w:val="20"/>
          <w:szCs w:val="20"/>
        </w:rPr>
        <w:t>maturity</w:t>
      </w:r>
      <w:proofErr w:type="spellEnd"/>
      <w:r w:rsidRPr="00A95645">
        <w:rPr>
          <w:rFonts w:ascii="Arial" w:hAnsi="Arial"/>
          <w:i/>
          <w:sz w:val="20"/>
          <w:szCs w:val="20"/>
        </w:rPr>
        <w:t xml:space="preserve"> </w:t>
      </w:r>
      <w:proofErr w:type="spellStart"/>
      <w:r w:rsidRPr="00A95645">
        <w:rPr>
          <w:rFonts w:ascii="Arial" w:hAnsi="Arial"/>
          <w:i/>
          <w:sz w:val="20"/>
          <w:szCs w:val="20"/>
        </w:rPr>
        <w:t>matching</w:t>
      </w:r>
      <w:proofErr w:type="spellEnd"/>
      <w:r w:rsidRPr="00A95645">
        <w:rPr>
          <w:rFonts w:ascii="Arial" w:hAnsi="Arial"/>
          <w:i/>
          <w:sz w:val="20"/>
          <w:szCs w:val="20"/>
        </w:rPr>
        <w:t xml:space="preserve"> </w:t>
      </w:r>
      <w:proofErr w:type="spellStart"/>
      <w:r w:rsidRPr="00A95645">
        <w:rPr>
          <w:rFonts w:ascii="Arial" w:hAnsi="Arial"/>
          <w:i/>
          <w:sz w:val="20"/>
          <w:szCs w:val="20"/>
        </w:rPr>
        <w:t>principle</w:t>
      </w:r>
      <w:proofErr w:type="spellEnd"/>
      <w:r w:rsidRPr="00A95645">
        <w:rPr>
          <w:rFonts w:ascii="Arial" w:hAnsi="Arial"/>
          <w:i/>
          <w:sz w:val="20"/>
          <w:szCs w:val="20"/>
        </w:rPr>
        <w:t>”</w:t>
      </w:r>
      <w:r w:rsidRPr="00A95645">
        <w:rPr>
          <w:rFonts w:ascii="Arial" w:hAnsi="Arial"/>
          <w:sz w:val="20"/>
          <w:szCs w:val="20"/>
        </w:rPr>
        <w:t xml:space="preserve">), poniendo de manifiesto la existencia de un equilibrio entre el plazo de vencimiento de la deuda y la composición del activo. </w:t>
      </w:r>
    </w:p>
    <w:p w:rsidR="00A95645" w:rsidRPr="00A95645" w:rsidRDefault="00A95645" w:rsidP="00A95645">
      <w:pPr>
        <w:pStyle w:val="Prrafodelista"/>
        <w:spacing w:after="0" w:line="240" w:lineRule="auto"/>
        <w:ind w:left="0" w:firstLine="567"/>
        <w:contextualSpacing w:val="0"/>
        <w:jc w:val="both"/>
        <w:rPr>
          <w:rFonts w:ascii="Arial" w:hAnsi="Arial"/>
          <w:sz w:val="20"/>
          <w:szCs w:val="20"/>
        </w:rPr>
      </w:pPr>
    </w:p>
    <w:p w:rsidR="00770542" w:rsidRPr="00A95645" w:rsidRDefault="00770542"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sidRPr="00A95645">
        <w:rPr>
          <w:rFonts w:ascii="Arial" w:hAnsi="Arial"/>
          <w:sz w:val="20"/>
          <w:szCs w:val="20"/>
        </w:rPr>
        <w:t xml:space="preserve">Finalmente, de acuerdo con la hipótesis inicial, en el endeudamiento a corto plazo aparece como significativo el nivel de capitalización, siendo esta relación de carácter inverso, puesto que cuando el capital y </w:t>
      </w:r>
      <w:r w:rsidR="00C2288B">
        <w:rPr>
          <w:rFonts w:ascii="Arial" w:hAnsi="Arial"/>
          <w:sz w:val="20"/>
          <w:szCs w:val="20"/>
        </w:rPr>
        <w:t xml:space="preserve">las </w:t>
      </w:r>
      <w:r w:rsidRPr="00A95645">
        <w:rPr>
          <w:rFonts w:ascii="Arial" w:hAnsi="Arial"/>
          <w:sz w:val="20"/>
          <w:szCs w:val="20"/>
        </w:rPr>
        <w:t xml:space="preserve">reservas suponen un peso importante en la estructura financiera, el endeudamiento a corto plazo se ve reducido debido al signo negativo del coeficiente obtenido. </w:t>
      </w:r>
    </w:p>
    <w:p w:rsidR="00770542" w:rsidRPr="00A95645" w:rsidRDefault="00770542" w:rsidP="00A95645">
      <w:pPr>
        <w:pStyle w:val="Ttulodetablasyfiguras"/>
        <w:spacing w:after="0"/>
        <w:rPr>
          <w:rFonts w:ascii="Arial" w:hAnsi="Arial"/>
          <w:b w:val="0"/>
          <w:szCs w:val="20"/>
        </w:rPr>
      </w:pPr>
    </w:p>
    <w:p w:rsidR="00770542" w:rsidRPr="00A95645" w:rsidRDefault="002E14E4" w:rsidP="00A95645">
      <w:pPr>
        <w:pStyle w:val="Numeracindetablasyfiguras"/>
        <w:spacing w:before="0"/>
        <w:rPr>
          <w:rFonts w:ascii="Arial" w:hAnsi="Arial"/>
          <w:szCs w:val="20"/>
        </w:rPr>
      </w:pPr>
      <w:r>
        <w:rPr>
          <w:rFonts w:ascii="Arial" w:hAnsi="Arial"/>
          <w:szCs w:val="20"/>
        </w:rPr>
        <w:t>CUADRO 9</w:t>
      </w:r>
    </w:p>
    <w:p w:rsidR="00770542" w:rsidRPr="00A95645" w:rsidRDefault="00770542" w:rsidP="00A95645">
      <w:pPr>
        <w:pStyle w:val="Prrafodelista"/>
        <w:spacing w:after="0" w:line="240" w:lineRule="auto"/>
        <w:ind w:left="0"/>
        <w:contextualSpacing w:val="0"/>
        <w:jc w:val="center"/>
        <w:rPr>
          <w:rFonts w:ascii="Arial" w:eastAsia="Times New Roman" w:hAnsi="Arial"/>
          <w:bCs/>
          <w:sz w:val="20"/>
          <w:szCs w:val="20"/>
          <w:lang w:val="es-ES" w:eastAsia="es-ES"/>
        </w:rPr>
      </w:pPr>
      <w:r w:rsidRPr="00A95645">
        <w:rPr>
          <w:rFonts w:ascii="Arial" w:eastAsia="Times New Roman" w:hAnsi="Arial"/>
          <w:bCs/>
          <w:sz w:val="20"/>
          <w:szCs w:val="20"/>
          <w:lang w:val="es-ES" w:eastAsia="es-ES"/>
        </w:rPr>
        <w:t>Endeudamiento a corto plazo</w:t>
      </w:r>
    </w:p>
    <w:tbl>
      <w:tblPr>
        <w:tblW w:w="7338"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721"/>
        <w:gridCol w:w="1739"/>
        <w:gridCol w:w="1440"/>
        <w:gridCol w:w="1438"/>
        <w:gridCol w:w="1000"/>
        <w:gridCol w:w="1000"/>
      </w:tblGrid>
      <w:tr w:rsidR="00770542" w:rsidRPr="004A292E" w:rsidTr="00770542">
        <w:trPr>
          <w:cantSplit/>
          <w:tblHeader/>
          <w:jc w:val="center"/>
        </w:trPr>
        <w:tc>
          <w:tcPr>
            <w:tcW w:w="246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rPr>
                <w:rFonts w:ascii="Arial" w:hAnsi="Arial" w:cs="Times New Roman"/>
                <w:b/>
                <w:sz w:val="16"/>
                <w:szCs w:val="16"/>
              </w:rPr>
            </w:pPr>
            <w:r w:rsidRPr="004A292E">
              <w:rPr>
                <w:rFonts w:ascii="Arial" w:hAnsi="Arial" w:cs="Times New Roman"/>
                <w:b/>
                <w:sz w:val="16"/>
                <w:szCs w:val="16"/>
              </w:rPr>
              <w:t>Modelo</w:t>
            </w:r>
          </w:p>
        </w:tc>
        <w:tc>
          <w:tcPr>
            <w:tcW w:w="2878"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sz w:val="16"/>
                <w:szCs w:val="16"/>
              </w:rPr>
            </w:pPr>
            <w:r w:rsidRPr="004A292E">
              <w:rPr>
                <w:rFonts w:ascii="Arial" w:hAnsi="Arial" w:cs="Times New Roman"/>
                <w:b/>
                <w:sz w:val="16"/>
                <w:szCs w:val="16"/>
              </w:rPr>
              <w:t>Coeficientes no estandarizados</w:t>
            </w:r>
          </w:p>
        </w:tc>
        <w:tc>
          <w:tcPr>
            <w:tcW w:w="1000"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sz w:val="16"/>
                <w:szCs w:val="16"/>
              </w:rPr>
            </w:pPr>
            <w:r w:rsidRPr="004A292E">
              <w:rPr>
                <w:rFonts w:ascii="Arial" w:hAnsi="Arial" w:cs="Times New Roman"/>
                <w:b/>
                <w:sz w:val="16"/>
                <w:szCs w:val="16"/>
              </w:rPr>
              <w:t>t</w:t>
            </w:r>
          </w:p>
        </w:tc>
        <w:tc>
          <w:tcPr>
            <w:tcW w:w="1000" w:type="dxa"/>
            <w:vMerge w:val="restart"/>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sz w:val="16"/>
                <w:szCs w:val="16"/>
              </w:rPr>
            </w:pPr>
            <w:r w:rsidRPr="004A292E">
              <w:rPr>
                <w:rFonts w:ascii="Arial" w:hAnsi="Arial" w:cs="Times New Roman"/>
                <w:b/>
                <w:sz w:val="16"/>
                <w:szCs w:val="16"/>
              </w:rPr>
              <w:t>Sig.</w:t>
            </w:r>
          </w:p>
        </w:tc>
      </w:tr>
      <w:tr w:rsidR="00770542" w:rsidRPr="004A292E" w:rsidTr="00770542">
        <w:trPr>
          <w:cantSplit/>
          <w:tblHeader/>
          <w:jc w:val="center"/>
        </w:trPr>
        <w:tc>
          <w:tcPr>
            <w:tcW w:w="2460"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rPr>
                <w:rFonts w:ascii="Arial" w:hAnsi="Arial" w:cs="Times New Roman"/>
                <w:sz w:val="16"/>
                <w:szCs w:val="16"/>
              </w:rPr>
            </w:pPr>
          </w:p>
        </w:tc>
        <w:tc>
          <w:tcPr>
            <w:tcW w:w="1440"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i/>
                <w:sz w:val="16"/>
                <w:szCs w:val="16"/>
              </w:rPr>
            </w:pPr>
            <w:r w:rsidRPr="004A292E">
              <w:rPr>
                <w:rFonts w:ascii="Arial" w:hAnsi="Arial" w:cs="Times New Roman"/>
                <w:b/>
                <w:i/>
                <w:sz w:val="16"/>
                <w:szCs w:val="16"/>
              </w:rPr>
              <w:t>B</w:t>
            </w:r>
          </w:p>
        </w:tc>
        <w:tc>
          <w:tcPr>
            <w:tcW w:w="1438" w:type="dxa"/>
            <w:tcBorders>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i/>
                <w:sz w:val="16"/>
                <w:szCs w:val="16"/>
              </w:rPr>
            </w:pPr>
            <w:r w:rsidRPr="004A292E">
              <w:rPr>
                <w:rFonts w:ascii="Arial" w:hAnsi="Arial" w:cs="Times New Roman"/>
                <w:b/>
                <w:i/>
                <w:sz w:val="16"/>
                <w:szCs w:val="16"/>
              </w:rPr>
              <w:t xml:space="preserve">Error </w:t>
            </w:r>
            <w:proofErr w:type="spellStart"/>
            <w:r w:rsidRPr="004A292E">
              <w:rPr>
                <w:rFonts w:ascii="Arial" w:hAnsi="Arial" w:cs="Times New Roman"/>
                <w:b/>
                <w:i/>
                <w:sz w:val="16"/>
                <w:szCs w:val="16"/>
              </w:rPr>
              <w:t>típ</w:t>
            </w:r>
            <w:proofErr w:type="spellEnd"/>
            <w:r w:rsidRPr="004A292E">
              <w:rPr>
                <w:rFonts w:ascii="Arial" w:hAnsi="Arial" w:cs="Times New Roman"/>
                <w:b/>
                <w:i/>
                <w:sz w:val="16"/>
                <w:szCs w:val="16"/>
              </w:rPr>
              <w:t>.</w:t>
            </w:r>
          </w:p>
        </w:tc>
        <w:tc>
          <w:tcPr>
            <w:tcW w:w="1000"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rPr>
                <w:rFonts w:ascii="Arial" w:hAnsi="Arial" w:cs="Times New Roman"/>
                <w:sz w:val="16"/>
                <w:szCs w:val="16"/>
              </w:rPr>
            </w:pPr>
          </w:p>
        </w:tc>
        <w:tc>
          <w:tcPr>
            <w:tcW w:w="1000" w:type="dxa"/>
            <w:vMerge/>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rPr>
                <w:rFonts w:ascii="Arial" w:hAnsi="Arial" w:cs="Times New Roman"/>
                <w:sz w:val="16"/>
                <w:szCs w:val="16"/>
              </w:rPr>
            </w:pPr>
          </w:p>
        </w:tc>
      </w:tr>
      <w:tr w:rsidR="00770542" w:rsidRPr="004A292E" w:rsidTr="00770542">
        <w:trPr>
          <w:cantSplit/>
          <w:tblHeader/>
          <w:jc w:val="center"/>
        </w:trPr>
        <w:tc>
          <w:tcPr>
            <w:tcW w:w="721"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1</w:t>
            </w:r>
          </w:p>
        </w:tc>
        <w:tc>
          <w:tcPr>
            <w:tcW w:w="1739"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(Constante)</w:t>
            </w:r>
          </w:p>
        </w:tc>
        <w:tc>
          <w:tcPr>
            <w:tcW w:w="1440"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,190</w:t>
            </w:r>
          </w:p>
        </w:tc>
        <w:tc>
          <w:tcPr>
            <w:tcW w:w="1438" w:type="dxa"/>
            <w:tcBorders>
              <w:top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,038</w:t>
            </w:r>
          </w:p>
        </w:tc>
        <w:tc>
          <w:tcPr>
            <w:tcW w:w="1000" w:type="dxa"/>
            <w:tcBorders>
              <w:top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4,928</w:t>
            </w:r>
          </w:p>
        </w:tc>
        <w:tc>
          <w:tcPr>
            <w:tcW w:w="1000" w:type="dxa"/>
            <w:tcBorders>
              <w:top w:val="single" w:sz="16" w:space="0" w:color="000000"/>
              <w:bottom w:val="nil"/>
              <w:right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2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Times New Roman"/>
                <w:sz w:val="16"/>
                <w:szCs w:val="16"/>
              </w:rPr>
            </w:pPr>
          </w:p>
        </w:tc>
        <w:tc>
          <w:tcPr>
            <w:tcW w:w="1739" w:type="dxa"/>
            <w:tcBorders>
              <w:top w:val="nil"/>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Activo</w:t>
            </w:r>
          </w:p>
        </w:tc>
        <w:tc>
          <w:tcPr>
            <w:tcW w:w="1440" w:type="dxa"/>
            <w:tcBorders>
              <w:top w:val="nil"/>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,505</w:t>
            </w:r>
          </w:p>
        </w:tc>
        <w:tc>
          <w:tcPr>
            <w:tcW w:w="1438"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,051</w:t>
            </w:r>
          </w:p>
        </w:tc>
        <w:tc>
          <w:tcPr>
            <w:tcW w:w="1000"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9,854</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2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Times New Roman"/>
                <w:sz w:val="16"/>
                <w:szCs w:val="16"/>
              </w:rPr>
            </w:pPr>
          </w:p>
        </w:tc>
        <w:tc>
          <w:tcPr>
            <w:tcW w:w="1739" w:type="dxa"/>
            <w:tcBorders>
              <w:top w:val="nil"/>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Liq.2</w:t>
            </w:r>
          </w:p>
        </w:tc>
        <w:tc>
          <w:tcPr>
            <w:tcW w:w="1440" w:type="dxa"/>
            <w:tcBorders>
              <w:top w:val="nil"/>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-,024</w:t>
            </w:r>
          </w:p>
        </w:tc>
        <w:tc>
          <w:tcPr>
            <w:tcW w:w="1438"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,003</w:t>
            </w:r>
          </w:p>
        </w:tc>
        <w:tc>
          <w:tcPr>
            <w:tcW w:w="1000"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-8,553</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2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Times New Roman"/>
                <w:sz w:val="16"/>
                <w:szCs w:val="16"/>
              </w:rPr>
            </w:pPr>
          </w:p>
        </w:tc>
        <w:tc>
          <w:tcPr>
            <w:tcW w:w="1739" w:type="dxa"/>
            <w:tcBorders>
              <w:top w:val="nil"/>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proofErr w:type="spellStart"/>
            <w:r w:rsidRPr="004A292E">
              <w:rPr>
                <w:rFonts w:ascii="Arial" w:hAnsi="Arial" w:cs="Times New Roman"/>
                <w:sz w:val="16"/>
                <w:szCs w:val="16"/>
              </w:rPr>
              <w:t>Capit</w:t>
            </w:r>
            <w:proofErr w:type="spellEnd"/>
            <w:r w:rsidRPr="004A292E">
              <w:rPr>
                <w:rFonts w:ascii="Arial" w:hAnsi="Arial" w:cs="Times New Roman"/>
                <w:sz w:val="16"/>
                <w:szCs w:val="16"/>
              </w:rPr>
              <w:t>.</w:t>
            </w:r>
          </w:p>
        </w:tc>
        <w:tc>
          <w:tcPr>
            <w:tcW w:w="1440" w:type="dxa"/>
            <w:tcBorders>
              <w:top w:val="nil"/>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-,321</w:t>
            </w:r>
          </w:p>
        </w:tc>
        <w:tc>
          <w:tcPr>
            <w:tcW w:w="1438"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,049</w:t>
            </w:r>
          </w:p>
        </w:tc>
        <w:tc>
          <w:tcPr>
            <w:tcW w:w="1000"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-6,599</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2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Times New Roman"/>
                <w:sz w:val="16"/>
                <w:szCs w:val="16"/>
              </w:rPr>
            </w:pPr>
          </w:p>
        </w:tc>
        <w:tc>
          <w:tcPr>
            <w:tcW w:w="1739" w:type="dxa"/>
            <w:tcBorders>
              <w:top w:val="nil"/>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proofErr w:type="spellStart"/>
            <w:r w:rsidRPr="004A292E">
              <w:rPr>
                <w:rFonts w:ascii="Arial" w:hAnsi="Arial" w:cs="Times New Roman"/>
                <w:sz w:val="16"/>
                <w:szCs w:val="16"/>
              </w:rPr>
              <w:t>Rot.A</w:t>
            </w:r>
            <w:proofErr w:type="spellEnd"/>
          </w:p>
        </w:tc>
        <w:tc>
          <w:tcPr>
            <w:tcW w:w="1440" w:type="dxa"/>
            <w:tcBorders>
              <w:top w:val="nil"/>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,016</w:t>
            </w:r>
          </w:p>
        </w:tc>
        <w:tc>
          <w:tcPr>
            <w:tcW w:w="1438"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,006</w:t>
            </w:r>
          </w:p>
        </w:tc>
        <w:tc>
          <w:tcPr>
            <w:tcW w:w="1000"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2,593</w:t>
            </w:r>
          </w:p>
        </w:tc>
        <w:tc>
          <w:tcPr>
            <w:tcW w:w="1000" w:type="dxa"/>
            <w:tcBorders>
              <w:top w:val="nil"/>
              <w:bottom w:val="nil"/>
              <w:right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,011</w:t>
            </w:r>
          </w:p>
        </w:tc>
      </w:tr>
      <w:tr w:rsidR="00770542" w:rsidRPr="004A292E" w:rsidTr="00770542">
        <w:trPr>
          <w:cantSplit/>
          <w:tblHeader/>
          <w:jc w:val="center"/>
        </w:trPr>
        <w:tc>
          <w:tcPr>
            <w:tcW w:w="721"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Times New Roman"/>
                <w:sz w:val="16"/>
                <w:szCs w:val="16"/>
              </w:rPr>
            </w:pPr>
          </w:p>
        </w:tc>
        <w:tc>
          <w:tcPr>
            <w:tcW w:w="1739"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Ventas</w:t>
            </w:r>
          </w:p>
        </w:tc>
        <w:tc>
          <w:tcPr>
            <w:tcW w:w="1440"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,057</w:t>
            </w:r>
          </w:p>
        </w:tc>
        <w:tc>
          <w:tcPr>
            <w:tcW w:w="1438" w:type="dxa"/>
            <w:tcBorders>
              <w:top w:val="nil"/>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,022</w:t>
            </w:r>
          </w:p>
        </w:tc>
        <w:tc>
          <w:tcPr>
            <w:tcW w:w="1000" w:type="dxa"/>
            <w:tcBorders>
              <w:top w:val="nil"/>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2,650</w:t>
            </w:r>
          </w:p>
        </w:tc>
        <w:tc>
          <w:tcPr>
            <w:tcW w:w="1000"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,009</w:t>
            </w:r>
          </w:p>
        </w:tc>
      </w:tr>
      <w:tr w:rsidR="00770542" w:rsidRPr="004A292E" w:rsidTr="00770542">
        <w:trPr>
          <w:cantSplit/>
          <w:jc w:val="center"/>
        </w:trPr>
        <w:tc>
          <w:tcPr>
            <w:tcW w:w="5338" w:type="dxa"/>
            <w:gridSpan w:val="4"/>
            <w:tcBorders>
              <w:top w:val="nil"/>
              <w:left w:val="nil"/>
              <w:bottom w:val="nil"/>
              <w:right w:val="nil"/>
            </w:tcBorders>
            <w:shd w:val="clear" w:color="auto" w:fill="FFFFFF"/>
            <w:tcMar>
              <w:top w:w="30" w:type="dxa"/>
              <w:left w:w="30" w:type="dxa"/>
              <w:bottom w:w="30" w:type="dxa"/>
              <w:right w:w="30" w:type="dxa"/>
            </w:tcMar>
          </w:tcPr>
          <w:p w:rsidR="00770542" w:rsidRPr="004A292E" w:rsidRDefault="00770542" w:rsidP="00A95645">
            <w:pPr>
              <w:autoSpaceDE w:val="0"/>
              <w:autoSpaceDN w:val="0"/>
              <w:adjustRightInd w:val="0"/>
              <w:rPr>
                <w:rFonts w:ascii="Arial" w:hAnsi="Arial" w:cs="Times New Roman"/>
                <w:sz w:val="16"/>
                <w:szCs w:val="16"/>
              </w:rPr>
            </w:pPr>
            <w:r w:rsidRPr="004A292E">
              <w:rPr>
                <w:rFonts w:ascii="Arial" w:hAnsi="Arial" w:cs="Times New Roman"/>
                <w:sz w:val="16"/>
                <w:szCs w:val="16"/>
              </w:rPr>
              <w:t xml:space="preserve">a. Variable dependiente: </w:t>
            </w:r>
            <w:proofErr w:type="spellStart"/>
            <w:r w:rsidRPr="004A292E">
              <w:rPr>
                <w:rFonts w:ascii="Arial" w:hAnsi="Arial" w:cs="Times New Roman"/>
                <w:sz w:val="16"/>
                <w:szCs w:val="16"/>
              </w:rPr>
              <w:t>var_endeud_cp</w:t>
            </w:r>
            <w:proofErr w:type="spellEnd"/>
          </w:p>
        </w:tc>
        <w:tc>
          <w:tcPr>
            <w:tcW w:w="1000" w:type="dxa"/>
            <w:tcBorders>
              <w:top w:val="nil"/>
              <w:left w:val="nil"/>
              <w:bottom w:val="nil"/>
              <w:right w:val="nil"/>
            </w:tcBorders>
            <w:shd w:val="clear" w:color="auto" w:fill="FFFFFF"/>
            <w:tcMar>
              <w:top w:w="30" w:type="dxa"/>
              <w:left w:w="30" w:type="dxa"/>
              <w:bottom w:w="30" w:type="dxa"/>
              <w:right w:w="30" w:type="dxa"/>
            </w:tcMar>
          </w:tcPr>
          <w:p w:rsidR="00770542" w:rsidRPr="004A292E" w:rsidRDefault="00770542" w:rsidP="00A95645">
            <w:pPr>
              <w:autoSpaceDE w:val="0"/>
              <w:autoSpaceDN w:val="0"/>
              <w:adjustRightInd w:val="0"/>
              <w:rPr>
                <w:rFonts w:ascii="Arial" w:hAnsi="Arial"/>
                <w:sz w:val="16"/>
                <w:szCs w:val="16"/>
              </w:rPr>
            </w:pPr>
          </w:p>
        </w:tc>
        <w:tc>
          <w:tcPr>
            <w:tcW w:w="1000" w:type="dxa"/>
            <w:tcBorders>
              <w:top w:val="nil"/>
              <w:left w:val="nil"/>
              <w:bottom w:val="nil"/>
              <w:right w:val="nil"/>
            </w:tcBorders>
            <w:shd w:val="clear" w:color="auto" w:fill="FFFFFF"/>
            <w:tcMar>
              <w:top w:w="30" w:type="dxa"/>
              <w:left w:w="30" w:type="dxa"/>
              <w:bottom w:w="30" w:type="dxa"/>
              <w:right w:w="30" w:type="dxa"/>
            </w:tcMar>
          </w:tcPr>
          <w:p w:rsidR="00770542" w:rsidRPr="004A292E" w:rsidRDefault="00770542" w:rsidP="00A95645">
            <w:pPr>
              <w:autoSpaceDE w:val="0"/>
              <w:autoSpaceDN w:val="0"/>
              <w:adjustRightInd w:val="0"/>
              <w:rPr>
                <w:rFonts w:ascii="Arial" w:hAnsi="Arial"/>
                <w:sz w:val="16"/>
                <w:szCs w:val="16"/>
              </w:rPr>
            </w:pPr>
          </w:p>
        </w:tc>
      </w:tr>
    </w:tbl>
    <w:p w:rsidR="00770542" w:rsidRDefault="00770542" w:rsidP="00A95645">
      <w:pPr>
        <w:pStyle w:val="Prrafodelista"/>
        <w:spacing w:after="0" w:line="240" w:lineRule="auto"/>
        <w:ind w:left="0" w:firstLine="708"/>
        <w:contextualSpacing w:val="0"/>
        <w:jc w:val="both"/>
        <w:rPr>
          <w:rFonts w:ascii="Arial" w:eastAsia="Times New Roman" w:hAnsi="Arial"/>
          <w:sz w:val="18"/>
          <w:szCs w:val="18"/>
          <w:lang w:val="es-ES" w:eastAsia="es-ES"/>
        </w:rPr>
      </w:pPr>
      <w:r w:rsidRPr="00A95645">
        <w:rPr>
          <w:rFonts w:ascii="Arial" w:eastAsia="Times New Roman" w:hAnsi="Arial"/>
          <w:sz w:val="18"/>
          <w:szCs w:val="18"/>
          <w:lang w:val="es-ES" w:eastAsia="es-ES"/>
        </w:rPr>
        <w:t>Fuente: Elaboración propia.</w:t>
      </w:r>
    </w:p>
    <w:p w:rsidR="00A95645" w:rsidRPr="00A95645" w:rsidRDefault="00A95645" w:rsidP="00A95645">
      <w:pPr>
        <w:pStyle w:val="Prrafodelista"/>
        <w:spacing w:after="0" w:line="240" w:lineRule="auto"/>
        <w:ind w:left="0" w:firstLine="708"/>
        <w:contextualSpacing w:val="0"/>
        <w:jc w:val="both"/>
        <w:rPr>
          <w:rFonts w:ascii="Arial" w:eastAsia="Times New Roman" w:hAnsi="Arial"/>
          <w:sz w:val="20"/>
          <w:szCs w:val="20"/>
          <w:lang w:val="es-ES" w:eastAsia="es-ES"/>
        </w:rPr>
      </w:pPr>
    </w:p>
    <w:p w:rsidR="00770542" w:rsidRDefault="00770542"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sidRPr="00A95645">
        <w:rPr>
          <w:rFonts w:ascii="Arial" w:eastAsia="Times New Roman" w:hAnsi="Arial"/>
          <w:sz w:val="20"/>
          <w:szCs w:val="20"/>
          <w:lang w:val="es-ES" w:eastAsia="es-ES"/>
        </w:rPr>
        <w:t>En referencia a las variables que resultan significativas como resultado del análisis de regresión tomando como variable dependiente el endeudamiento a largo plazo</w:t>
      </w:r>
      <w:r w:rsidR="002E14E4">
        <w:rPr>
          <w:rFonts w:ascii="Arial" w:eastAsia="Times New Roman" w:hAnsi="Arial"/>
          <w:sz w:val="20"/>
          <w:szCs w:val="20"/>
          <w:lang w:val="es-ES" w:eastAsia="es-ES"/>
        </w:rPr>
        <w:t xml:space="preserve"> (Cuadro 10</w:t>
      </w:r>
      <w:r w:rsidR="00A95645" w:rsidRPr="00A95645">
        <w:rPr>
          <w:rFonts w:ascii="Arial" w:eastAsia="Times New Roman" w:hAnsi="Arial"/>
          <w:sz w:val="20"/>
          <w:szCs w:val="20"/>
          <w:lang w:val="es-ES" w:eastAsia="es-ES"/>
        </w:rPr>
        <w:t>)</w:t>
      </w:r>
      <w:r w:rsidRPr="00A95645">
        <w:rPr>
          <w:rFonts w:ascii="Arial" w:eastAsia="Times New Roman" w:hAnsi="Arial"/>
          <w:sz w:val="20"/>
          <w:szCs w:val="20"/>
          <w:lang w:val="es-ES" w:eastAsia="es-ES"/>
        </w:rPr>
        <w:t>, hay que señalar que salvo el caso de la liquidez, el resto de variables aparecen con signo negativo, es decir se relacionan de forma inversamente proporcional con el endeudamiento a largo plazo. Tanto la capitalización como el ratio de composición del activo tienen un peso muy importante en el análisis, con coeficientes negativos en ambos casos, siendo estos valores y signos coherentes con la bibliografía. A continuación, por orden decreciente de importancia en valor absoluto, se observa la liquidez, cuyo signo positivo indica una relación proporcional con el endeudamiento. Esta relación, si bien no era la contemplada en la hipótesis inicial de investigación, sí que ha sido puesta de manifiesto en estudios empíricos anteriores (</w:t>
      </w:r>
      <w:proofErr w:type="spellStart"/>
      <w:r w:rsidRPr="00A95645">
        <w:rPr>
          <w:rFonts w:ascii="Arial" w:eastAsia="Times New Roman" w:hAnsi="Arial"/>
          <w:sz w:val="20"/>
          <w:szCs w:val="20"/>
          <w:lang w:val="es-ES" w:eastAsia="es-ES"/>
        </w:rPr>
        <w:t>Hol</w:t>
      </w:r>
      <w:proofErr w:type="spellEnd"/>
      <w:r w:rsidRPr="00A95645">
        <w:rPr>
          <w:rFonts w:ascii="Arial" w:eastAsia="Times New Roman" w:hAnsi="Arial"/>
          <w:sz w:val="20"/>
          <w:szCs w:val="20"/>
          <w:lang w:val="es-ES" w:eastAsia="es-ES"/>
        </w:rPr>
        <w:t xml:space="preserve"> y Van der </w:t>
      </w:r>
      <w:proofErr w:type="spellStart"/>
      <w:r w:rsidRPr="00A95645">
        <w:rPr>
          <w:rFonts w:ascii="Arial" w:eastAsia="Times New Roman" w:hAnsi="Arial"/>
          <w:sz w:val="20"/>
          <w:szCs w:val="20"/>
          <w:lang w:val="es-ES" w:eastAsia="es-ES"/>
        </w:rPr>
        <w:t>Wijst</w:t>
      </w:r>
      <w:proofErr w:type="spellEnd"/>
      <w:r w:rsidRPr="00A95645">
        <w:rPr>
          <w:rFonts w:ascii="Arial" w:eastAsia="Times New Roman" w:hAnsi="Arial"/>
          <w:sz w:val="20"/>
          <w:szCs w:val="20"/>
          <w:lang w:val="es-ES" w:eastAsia="es-ES"/>
        </w:rPr>
        <w:t xml:space="preserve">, 2008). </w:t>
      </w:r>
    </w:p>
    <w:p w:rsidR="00A95645" w:rsidRPr="00A95645" w:rsidRDefault="00A95645" w:rsidP="00A95645">
      <w:pPr>
        <w:pStyle w:val="Prrafodelista"/>
        <w:spacing w:after="0" w:line="240" w:lineRule="auto"/>
        <w:ind w:left="0" w:firstLine="567"/>
        <w:contextualSpacing w:val="0"/>
        <w:jc w:val="both"/>
        <w:rPr>
          <w:rFonts w:ascii="Arial" w:hAnsi="Arial"/>
          <w:sz w:val="20"/>
          <w:szCs w:val="20"/>
        </w:rPr>
      </w:pPr>
    </w:p>
    <w:p w:rsidR="00770542" w:rsidRPr="00A95645" w:rsidRDefault="002E14E4" w:rsidP="00A95645">
      <w:pPr>
        <w:pStyle w:val="Numeracindetablasyfiguras"/>
        <w:spacing w:before="0"/>
        <w:rPr>
          <w:rFonts w:ascii="Arial" w:hAnsi="Arial"/>
          <w:szCs w:val="20"/>
        </w:rPr>
      </w:pPr>
      <w:r>
        <w:rPr>
          <w:rFonts w:ascii="Arial" w:hAnsi="Arial"/>
          <w:szCs w:val="20"/>
        </w:rPr>
        <w:lastRenderedPageBreak/>
        <w:t>CUadro 10</w:t>
      </w:r>
    </w:p>
    <w:p w:rsidR="00770542" w:rsidRPr="00A95645" w:rsidRDefault="00770542" w:rsidP="00A95645">
      <w:pPr>
        <w:pStyle w:val="Prrafodelista"/>
        <w:spacing w:after="0" w:line="240" w:lineRule="auto"/>
        <w:ind w:left="0"/>
        <w:contextualSpacing w:val="0"/>
        <w:jc w:val="center"/>
        <w:rPr>
          <w:rFonts w:ascii="Arial" w:eastAsia="Times New Roman" w:hAnsi="Arial"/>
          <w:bCs/>
          <w:sz w:val="20"/>
          <w:szCs w:val="20"/>
          <w:lang w:val="es-ES" w:eastAsia="es-ES"/>
        </w:rPr>
      </w:pPr>
      <w:r w:rsidRPr="00A95645">
        <w:rPr>
          <w:rFonts w:ascii="Arial" w:eastAsia="Times New Roman" w:hAnsi="Arial"/>
          <w:bCs/>
          <w:sz w:val="20"/>
          <w:szCs w:val="20"/>
          <w:lang w:val="es-ES" w:eastAsia="es-ES"/>
        </w:rPr>
        <w:t>Endeudamiento a largo plazo</w:t>
      </w:r>
    </w:p>
    <w:tbl>
      <w:tblPr>
        <w:tblW w:w="7456" w:type="dxa"/>
        <w:jc w:val="center"/>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firstRow="0" w:lastRow="0" w:firstColumn="0" w:lastColumn="0" w:noHBand="0" w:noVBand="0"/>
      </w:tblPr>
      <w:tblGrid>
        <w:gridCol w:w="753"/>
        <w:gridCol w:w="1681"/>
        <w:gridCol w:w="1559"/>
        <w:gridCol w:w="1478"/>
        <w:gridCol w:w="993"/>
        <w:gridCol w:w="992"/>
      </w:tblGrid>
      <w:tr w:rsidR="00770542" w:rsidRPr="004A292E" w:rsidTr="00770542">
        <w:trPr>
          <w:cantSplit/>
          <w:tblHeader/>
          <w:jc w:val="center"/>
        </w:trPr>
        <w:tc>
          <w:tcPr>
            <w:tcW w:w="243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rPr>
                <w:rFonts w:ascii="Arial" w:hAnsi="Arial" w:cs="Times New Roman"/>
                <w:b/>
                <w:sz w:val="16"/>
                <w:szCs w:val="16"/>
              </w:rPr>
            </w:pPr>
            <w:r w:rsidRPr="004A292E">
              <w:rPr>
                <w:rFonts w:ascii="Arial" w:hAnsi="Arial" w:cs="Times New Roman"/>
                <w:b/>
                <w:sz w:val="16"/>
                <w:szCs w:val="16"/>
              </w:rPr>
              <w:t>Modelo</w:t>
            </w:r>
          </w:p>
        </w:tc>
        <w:tc>
          <w:tcPr>
            <w:tcW w:w="3037" w:type="dxa"/>
            <w:gridSpan w:val="2"/>
            <w:tcBorders>
              <w:top w:val="single" w:sz="16" w:space="0" w:color="000000"/>
              <w:lef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sz w:val="16"/>
                <w:szCs w:val="16"/>
              </w:rPr>
            </w:pPr>
            <w:r w:rsidRPr="004A292E">
              <w:rPr>
                <w:rFonts w:ascii="Arial" w:hAnsi="Arial" w:cs="Times New Roman"/>
                <w:b/>
                <w:sz w:val="16"/>
                <w:szCs w:val="16"/>
              </w:rPr>
              <w:t>Coeficientes no estandarizados</w:t>
            </w:r>
          </w:p>
        </w:tc>
        <w:tc>
          <w:tcPr>
            <w:tcW w:w="993"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sz w:val="16"/>
                <w:szCs w:val="16"/>
              </w:rPr>
            </w:pPr>
            <w:r w:rsidRPr="004A292E">
              <w:rPr>
                <w:rFonts w:ascii="Arial" w:hAnsi="Arial" w:cs="Times New Roman"/>
                <w:b/>
                <w:sz w:val="16"/>
                <w:szCs w:val="16"/>
              </w:rPr>
              <w:t>t</w:t>
            </w:r>
          </w:p>
        </w:tc>
        <w:tc>
          <w:tcPr>
            <w:tcW w:w="992" w:type="dxa"/>
            <w:vMerge w:val="restart"/>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sz w:val="16"/>
                <w:szCs w:val="16"/>
              </w:rPr>
            </w:pPr>
            <w:r w:rsidRPr="004A292E">
              <w:rPr>
                <w:rFonts w:ascii="Arial" w:hAnsi="Arial" w:cs="Times New Roman"/>
                <w:b/>
                <w:sz w:val="16"/>
                <w:szCs w:val="16"/>
              </w:rPr>
              <w:t>Sig.</w:t>
            </w:r>
          </w:p>
        </w:tc>
      </w:tr>
      <w:tr w:rsidR="00770542" w:rsidRPr="004A292E" w:rsidTr="00770542">
        <w:trPr>
          <w:cantSplit/>
          <w:tblHeader/>
          <w:jc w:val="center"/>
        </w:trPr>
        <w:tc>
          <w:tcPr>
            <w:tcW w:w="2434" w:type="dxa"/>
            <w:gridSpan w:val="2"/>
            <w:vMerge/>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rPr>
                <w:rFonts w:ascii="Arial" w:hAnsi="Arial" w:cs="Times New Roman"/>
                <w:sz w:val="16"/>
                <w:szCs w:val="16"/>
              </w:rPr>
            </w:pPr>
          </w:p>
        </w:tc>
        <w:tc>
          <w:tcPr>
            <w:tcW w:w="1559" w:type="dxa"/>
            <w:tcBorders>
              <w:left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i/>
                <w:sz w:val="16"/>
                <w:szCs w:val="16"/>
              </w:rPr>
            </w:pPr>
            <w:r w:rsidRPr="004A292E">
              <w:rPr>
                <w:rFonts w:ascii="Arial" w:hAnsi="Arial" w:cs="Times New Roman"/>
                <w:b/>
                <w:i/>
                <w:sz w:val="16"/>
                <w:szCs w:val="16"/>
              </w:rPr>
              <w:t>B</w:t>
            </w:r>
          </w:p>
        </w:tc>
        <w:tc>
          <w:tcPr>
            <w:tcW w:w="1478" w:type="dxa"/>
            <w:tcBorders>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spacing w:line="320" w:lineRule="atLeast"/>
              <w:jc w:val="center"/>
              <w:rPr>
                <w:rFonts w:ascii="Arial" w:hAnsi="Arial" w:cs="Times New Roman"/>
                <w:b/>
                <w:i/>
                <w:sz w:val="16"/>
                <w:szCs w:val="16"/>
              </w:rPr>
            </w:pPr>
            <w:r w:rsidRPr="004A292E">
              <w:rPr>
                <w:rFonts w:ascii="Arial" w:hAnsi="Arial" w:cs="Times New Roman"/>
                <w:b/>
                <w:i/>
                <w:sz w:val="16"/>
                <w:szCs w:val="16"/>
              </w:rPr>
              <w:t xml:space="preserve">Error </w:t>
            </w:r>
            <w:proofErr w:type="spellStart"/>
            <w:r w:rsidRPr="004A292E">
              <w:rPr>
                <w:rFonts w:ascii="Arial" w:hAnsi="Arial" w:cs="Times New Roman"/>
                <w:b/>
                <w:i/>
                <w:sz w:val="16"/>
                <w:szCs w:val="16"/>
              </w:rPr>
              <w:t>típ</w:t>
            </w:r>
            <w:proofErr w:type="spellEnd"/>
            <w:r w:rsidRPr="004A292E">
              <w:rPr>
                <w:rFonts w:ascii="Arial" w:hAnsi="Arial" w:cs="Times New Roman"/>
                <w:b/>
                <w:i/>
                <w:sz w:val="16"/>
                <w:szCs w:val="16"/>
              </w:rPr>
              <w:t>.</w:t>
            </w:r>
          </w:p>
        </w:tc>
        <w:tc>
          <w:tcPr>
            <w:tcW w:w="993"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rPr>
                <w:rFonts w:ascii="Arial" w:hAnsi="Arial" w:cs="Times New Roman"/>
                <w:sz w:val="16"/>
                <w:szCs w:val="16"/>
              </w:rPr>
            </w:pPr>
          </w:p>
        </w:tc>
        <w:tc>
          <w:tcPr>
            <w:tcW w:w="992" w:type="dxa"/>
            <w:vMerge/>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770542" w:rsidRPr="004A292E" w:rsidRDefault="00770542" w:rsidP="00770542">
            <w:pPr>
              <w:autoSpaceDE w:val="0"/>
              <w:autoSpaceDN w:val="0"/>
              <w:adjustRightInd w:val="0"/>
              <w:rPr>
                <w:rFonts w:ascii="Arial" w:hAnsi="Arial" w:cs="Times New Roman"/>
                <w:sz w:val="16"/>
                <w:szCs w:val="16"/>
              </w:rPr>
            </w:pPr>
          </w:p>
        </w:tc>
      </w:tr>
      <w:tr w:rsidR="00770542" w:rsidRPr="004A292E" w:rsidTr="00770542">
        <w:trPr>
          <w:cantSplit/>
          <w:tblHeader/>
          <w:jc w:val="center"/>
        </w:trPr>
        <w:tc>
          <w:tcPr>
            <w:tcW w:w="753" w:type="dxa"/>
            <w:vMerge w:val="restart"/>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1</w:t>
            </w:r>
          </w:p>
        </w:tc>
        <w:tc>
          <w:tcPr>
            <w:tcW w:w="1681"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(Constante)</w:t>
            </w:r>
          </w:p>
        </w:tc>
        <w:tc>
          <w:tcPr>
            <w:tcW w:w="1559" w:type="dxa"/>
            <w:tcBorders>
              <w:top w:val="single" w:sz="16" w:space="0" w:color="000000"/>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,751</w:t>
            </w:r>
          </w:p>
        </w:tc>
        <w:tc>
          <w:tcPr>
            <w:tcW w:w="1478" w:type="dxa"/>
            <w:tcBorders>
              <w:top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,050</w:t>
            </w:r>
          </w:p>
        </w:tc>
        <w:tc>
          <w:tcPr>
            <w:tcW w:w="993" w:type="dxa"/>
            <w:tcBorders>
              <w:top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15,029</w:t>
            </w:r>
          </w:p>
        </w:tc>
        <w:tc>
          <w:tcPr>
            <w:tcW w:w="992" w:type="dxa"/>
            <w:tcBorders>
              <w:top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5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sz w:val="16"/>
                <w:szCs w:val="16"/>
              </w:rPr>
            </w:pPr>
          </w:p>
        </w:tc>
        <w:tc>
          <w:tcPr>
            <w:tcW w:w="1681" w:type="dxa"/>
            <w:tcBorders>
              <w:top w:val="nil"/>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Activo</w:t>
            </w:r>
          </w:p>
        </w:tc>
        <w:tc>
          <w:tcPr>
            <w:tcW w:w="1559" w:type="dxa"/>
            <w:tcBorders>
              <w:top w:val="nil"/>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-,595</w:t>
            </w:r>
          </w:p>
        </w:tc>
        <w:tc>
          <w:tcPr>
            <w:tcW w:w="1478"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,051</w:t>
            </w:r>
          </w:p>
        </w:tc>
        <w:tc>
          <w:tcPr>
            <w:tcW w:w="993"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-11,693</w:t>
            </w:r>
          </w:p>
        </w:tc>
        <w:tc>
          <w:tcPr>
            <w:tcW w:w="992"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5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Times New Roman"/>
                <w:sz w:val="16"/>
                <w:szCs w:val="16"/>
              </w:rPr>
            </w:pPr>
          </w:p>
        </w:tc>
        <w:tc>
          <w:tcPr>
            <w:tcW w:w="1681" w:type="dxa"/>
            <w:tcBorders>
              <w:top w:val="nil"/>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Liq.2</w:t>
            </w:r>
          </w:p>
        </w:tc>
        <w:tc>
          <w:tcPr>
            <w:tcW w:w="1559" w:type="dxa"/>
            <w:tcBorders>
              <w:top w:val="nil"/>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,159</w:t>
            </w:r>
          </w:p>
        </w:tc>
        <w:tc>
          <w:tcPr>
            <w:tcW w:w="1478"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,022</w:t>
            </w:r>
          </w:p>
        </w:tc>
        <w:tc>
          <w:tcPr>
            <w:tcW w:w="993"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7,199</w:t>
            </w:r>
          </w:p>
        </w:tc>
        <w:tc>
          <w:tcPr>
            <w:tcW w:w="992"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5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Times New Roman"/>
                <w:sz w:val="16"/>
                <w:szCs w:val="16"/>
              </w:rPr>
            </w:pPr>
          </w:p>
        </w:tc>
        <w:tc>
          <w:tcPr>
            <w:tcW w:w="1681" w:type="dxa"/>
            <w:tcBorders>
              <w:top w:val="nil"/>
              <w:left w:val="nil"/>
              <w:bottom w:val="nil"/>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proofErr w:type="spellStart"/>
            <w:r w:rsidRPr="004A292E">
              <w:rPr>
                <w:rFonts w:ascii="Arial" w:hAnsi="Arial" w:cs="Times New Roman"/>
                <w:sz w:val="16"/>
                <w:szCs w:val="16"/>
              </w:rPr>
              <w:t>Capit</w:t>
            </w:r>
            <w:proofErr w:type="spellEnd"/>
            <w:r w:rsidRPr="004A292E">
              <w:rPr>
                <w:rFonts w:ascii="Arial" w:hAnsi="Arial" w:cs="Times New Roman"/>
                <w:sz w:val="16"/>
                <w:szCs w:val="16"/>
              </w:rPr>
              <w:t>.</w:t>
            </w:r>
          </w:p>
        </w:tc>
        <w:tc>
          <w:tcPr>
            <w:tcW w:w="1559" w:type="dxa"/>
            <w:tcBorders>
              <w:top w:val="nil"/>
              <w:left w:val="single" w:sz="16" w:space="0" w:color="000000"/>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-,684</w:t>
            </w:r>
          </w:p>
        </w:tc>
        <w:tc>
          <w:tcPr>
            <w:tcW w:w="1478"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,062</w:t>
            </w:r>
          </w:p>
        </w:tc>
        <w:tc>
          <w:tcPr>
            <w:tcW w:w="993"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-10,966</w:t>
            </w:r>
          </w:p>
        </w:tc>
        <w:tc>
          <w:tcPr>
            <w:tcW w:w="992" w:type="dxa"/>
            <w:tcBorders>
              <w:top w:val="nil"/>
              <w:bottom w:val="nil"/>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,000</w:t>
            </w:r>
          </w:p>
        </w:tc>
      </w:tr>
      <w:tr w:rsidR="00770542" w:rsidRPr="004A292E" w:rsidTr="00770542">
        <w:trPr>
          <w:cantSplit/>
          <w:tblHeader/>
          <w:jc w:val="center"/>
        </w:trPr>
        <w:tc>
          <w:tcPr>
            <w:tcW w:w="753" w:type="dxa"/>
            <w:vMerge/>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rPr>
                <w:rFonts w:ascii="Arial" w:hAnsi="Arial" w:cs="Times New Roman"/>
                <w:sz w:val="16"/>
                <w:szCs w:val="16"/>
              </w:rPr>
            </w:pPr>
          </w:p>
        </w:tc>
        <w:tc>
          <w:tcPr>
            <w:tcW w:w="1681" w:type="dxa"/>
            <w:tcBorders>
              <w:top w:val="nil"/>
              <w:left w:val="nil"/>
              <w:bottom w:val="single" w:sz="16" w:space="0" w:color="000000"/>
              <w:right w:val="single" w:sz="16" w:space="0" w:color="000000"/>
            </w:tcBorders>
            <w:shd w:val="clear" w:color="auto" w:fill="FFFFFF"/>
            <w:tcMar>
              <w:top w:w="30" w:type="dxa"/>
              <w:left w:w="30" w:type="dxa"/>
              <w:bottom w:w="30" w:type="dxa"/>
              <w:right w:w="30" w:type="dxa"/>
            </w:tcMar>
          </w:tcPr>
          <w:p w:rsidR="00770542" w:rsidRPr="004A292E" w:rsidRDefault="00770542" w:rsidP="00770542">
            <w:pPr>
              <w:autoSpaceDE w:val="0"/>
              <w:autoSpaceDN w:val="0"/>
              <w:adjustRightInd w:val="0"/>
              <w:spacing w:line="320" w:lineRule="atLeast"/>
              <w:rPr>
                <w:rFonts w:ascii="Arial" w:hAnsi="Arial" w:cs="Times New Roman"/>
                <w:sz w:val="16"/>
                <w:szCs w:val="16"/>
              </w:rPr>
            </w:pPr>
            <w:r w:rsidRPr="004A292E">
              <w:rPr>
                <w:rFonts w:ascii="Arial" w:hAnsi="Arial" w:cs="Times New Roman"/>
                <w:sz w:val="16"/>
                <w:szCs w:val="16"/>
              </w:rPr>
              <w:t>Ventas</w:t>
            </w:r>
          </w:p>
        </w:tc>
        <w:tc>
          <w:tcPr>
            <w:tcW w:w="1559" w:type="dxa"/>
            <w:tcBorders>
              <w:top w:val="nil"/>
              <w:left w:val="single" w:sz="16" w:space="0" w:color="000000"/>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-,090</w:t>
            </w:r>
          </w:p>
        </w:tc>
        <w:tc>
          <w:tcPr>
            <w:tcW w:w="1478" w:type="dxa"/>
            <w:tcBorders>
              <w:top w:val="nil"/>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,033</w:t>
            </w:r>
          </w:p>
        </w:tc>
        <w:tc>
          <w:tcPr>
            <w:tcW w:w="993" w:type="dxa"/>
            <w:tcBorders>
              <w:top w:val="nil"/>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-2,770</w:t>
            </w:r>
          </w:p>
        </w:tc>
        <w:tc>
          <w:tcPr>
            <w:tcW w:w="992" w:type="dxa"/>
            <w:tcBorders>
              <w:top w:val="nil"/>
              <w:bottom w:val="single" w:sz="16" w:space="0" w:color="000000"/>
            </w:tcBorders>
            <w:shd w:val="clear" w:color="auto" w:fill="FFFFFF"/>
            <w:tcMar>
              <w:top w:w="30" w:type="dxa"/>
              <w:left w:w="30" w:type="dxa"/>
              <w:bottom w:w="30" w:type="dxa"/>
              <w:right w:w="30" w:type="dxa"/>
            </w:tcMar>
            <w:vAlign w:val="center"/>
          </w:tcPr>
          <w:p w:rsidR="00770542" w:rsidRPr="004A292E" w:rsidRDefault="00770542" w:rsidP="00770542">
            <w:pPr>
              <w:autoSpaceDE w:val="0"/>
              <w:autoSpaceDN w:val="0"/>
              <w:adjustRightInd w:val="0"/>
              <w:spacing w:line="320" w:lineRule="atLeast"/>
              <w:jc w:val="right"/>
              <w:rPr>
                <w:rFonts w:ascii="Arial" w:hAnsi="Arial" w:cs="Times New Roman"/>
                <w:sz w:val="16"/>
                <w:szCs w:val="16"/>
              </w:rPr>
            </w:pPr>
            <w:r w:rsidRPr="004A292E">
              <w:rPr>
                <w:rFonts w:ascii="Arial" w:hAnsi="Arial" w:cs="Times New Roman"/>
                <w:sz w:val="16"/>
                <w:szCs w:val="16"/>
              </w:rPr>
              <w:t>,007</w:t>
            </w:r>
          </w:p>
        </w:tc>
      </w:tr>
    </w:tbl>
    <w:p w:rsidR="00770542" w:rsidRPr="00A95645" w:rsidRDefault="00770542" w:rsidP="00770542">
      <w:pPr>
        <w:pStyle w:val="Prrafodelista"/>
        <w:spacing w:after="0" w:line="360" w:lineRule="auto"/>
        <w:ind w:left="0" w:firstLine="567"/>
        <w:contextualSpacing w:val="0"/>
        <w:jc w:val="both"/>
        <w:rPr>
          <w:rFonts w:ascii="Arial" w:eastAsia="Times New Roman" w:hAnsi="Arial"/>
          <w:sz w:val="18"/>
          <w:szCs w:val="18"/>
          <w:lang w:val="es-ES" w:eastAsia="es-ES"/>
        </w:rPr>
      </w:pPr>
      <w:r w:rsidRPr="00A95645">
        <w:rPr>
          <w:rFonts w:ascii="Arial" w:eastAsia="Times New Roman" w:hAnsi="Arial"/>
          <w:sz w:val="18"/>
          <w:szCs w:val="18"/>
          <w:lang w:val="es-ES" w:eastAsia="es-ES"/>
        </w:rPr>
        <w:t>Fuente: Elaboración propia.</w:t>
      </w:r>
    </w:p>
    <w:p w:rsidR="00770542" w:rsidRDefault="00770542" w:rsidP="00A95645">
      <w:pPr>
        <w:pStyle w:val="Textoindependiente"/>
        <w:numPr>
          <w:ilvl w:val="0"/>
          <w:numId w:val="2"/>
        </w:numPr>
        <w:spacing w:before="0" w:after="0"/>
        <w:ind w:left="284" w:hanging="284"/>
        <w:rPr>
          <w:rFonts w:ascii="Arial" w:hAnsi="Arial"/>
          <w:b/>
          <w:sz w:val="20"/>
          <w:szCs w:val="20"/>
        </w:rPr>
      </w:pPr>
      <w:r w:rsidRPr="00A95645">
        <w:rPr>
          <w:rFonts w:ascii="Arial" w:hAnsi="Arial"/>
          <w:b/>
          <w:sz w:val="20"/>
          <w:szCs w:val="20"/>
        </w:rPr>
        <w:t>Conclusiones</w:t>
      </w:r>
    </w:p>
    <w:p w:rsidR="009B62B2" w:rsidRPr="00A95645" w:rsidRDefault="009B62B2" w:rsidP="009B62B2">
      <w:pPr>
        <w:pStyle w:val="Textoindependiente"/>
        <w:spacing w:before="0" w:after="0"/>
        <w:rPr>
          <w:rFonts w:ascii="Arial" w:hAnsi="Arial"/>
          <w:b/>
          <w:sz w:val="20"/>
          <w:szCs w:val="20"/>
        </w:rPr>
      </w:pPr>
    </w:p>
    <w:p w:rsidR="00770542" w:rsidRDefault="00770542"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sidRPr="00A95645">
        <w:rPr>
          <w:rFonts w:ascii="Arial" w:eastAsia="Times New Roman" w:hAnsi="Arial"/>
          <w:sz w:val="20"/>
          <w:szCs w:val="20"/>
          <w:lang w:val="es-ES" w:eastAsia="es-ES"/>
        </w:rPr>
        <w:t>Las evidencias empíricas aportadas por este trabajo vienen a suponer un paso más en el conocimiento de la estructura financiera de la empresa a nivel microeconómico en relación con una tipología empresarial específica, la sociedad cooperativa, que presenta rasgos sustantivos que las identifican y a la vez las diferencian del conjunto de sociedades mercantiles.</w:t>
      </w:r>
    </w:p>
    <w:p w:rsidR="00857512" w:rsidRPr="00A95645" w:rsidRDefault="00857512" w:rsidP="00A95645">
      <w:pPr>
        <w:pStyle w:val="Prrafodelista"/>
        <w:spacing w:after="0" w:line="240" w:lineRule="auto"/>
        <w:ind w:left="0" w:firstLine="567"/>
        <w:contextualSpacing w:val="0"/>
        <w:jc w:val="both"/>
        <w:rPr>
          <w:rFonts w:ascii="Arial" w:eastAsia="Times New Roman" w:hAnsi="Arial"/>
          <w:sz w:val="20"/>
          <w:szCs w:val="20"/>
          <w:lang w:val="es-ES" w:eastAsia="es-ES"/>
        </w:rPr>
      </w:pPr>
    </w:p>
    <w:p w:rsidR="00770542" w:rsidRDefault="00770542"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sidRPr="00A95645">
        <w:rPr>
          <w:rFonts w:ascii="Arial" w:eastAsia="Times New Roman" w:hAnsi="Arial"/>
          <w:sz w:val="20"/>
          <w:szCs w:val="20"/>
          <w:lang w:val="es-ES" w:eastAsia="es-ES"/>
        </w:rPr>
        <w:t>Un primer análisis descriptivo de la muestra de enti</w:t>
      </w:r>
      <w:r w:rsidR="00744759">
        <w:rPr>
          <w:rFonts w:ascii="Arial" w:eastAsia="Times New Roman" w:hAnsi="Arial"/>
          <w:sz w:val="20"/>
          <w:szCs w:val="20"/>
          <w:lang w:val="es-ES" w:eastAsia="es-ES"/>
        </w:rPr>
        <w:t>dades del sector agrario</w:t>
      </w:r>
      <w:r w:rsidRPr="00A95645">
        <w:rPr>
          <w:rFonts w:ascii="Arial" w:eastAsia="Times New Roman" w:hAnsi="Arial"/>
          <w:sz w:val="20"/>
          <w:szCs w:val="20"/>
          <w:lang w:val="es-ES" w:eastAsia="es-ES"/>
        </w:rPr>
        <w:t xml:space="preserve"> español revela la importancia que las entidades de pequeña dimensión, clasificadas como </w:t>
      </w:r>
      <w:r w:rsidRPr="00A95645">
        <w:rPr>
          <w:rFonts w:ascii="Arial" w:eastAsia="Times New Roman" w:hAnsi="Arial"/>
          <w:i/>
          <w:sz w:val="20"/>
          <w:szCs w:val="20"/>
          <w:lang w:val="es-ES" w:eastAsia="es-ES"/>
        </w:rPr>
        <w:t>microempresas</w:t>
      </w:r>
      <w:r w:rsidRPr="00A95645">
        <w:rPr>
          <w:rFonts w:ascii="Arial" w:eastAsia="Times New Roman" w:hAnsi="Arial"/>
          <w:sz w:val="20"/>
          <w:szCs w:val="20"/>
          <w:lang w:val="es-ES" w:eastAsia="es-ES"/>
        </w:rPr>
        <w:t>, representan en el se</w:t>
      </w:r>
      <w:r w:rsidR="00744759">
        <w:rPr>
          <w:rFonts w:ascii="Arial" w:eastAsia="Times New Roman" w:hAnsi="Arial"/>
          <w:sz w:val="20"/>
          <w:szCs w:val="20"/>
          <w:lang w:val="es-ES" w:eastAsia="es-ES"/>
        </w:rPr>
        <w:t>ctor cooperativo agrario</w:t>
      </w:r>
      <w:r w:rsidRPr="00A95645">
        <w:rPr>
          <w:rFonts w:ascii="Arial" w:eastAsia="Times New Roman" w:hAnsi="Arial"/>
          <w:sz w:val="20"/>
          <w:szCs w:val="20"/>
          <w:lang w:val="es-ES" w:eastAsia="es-ES"/>
        </w:rPr>
        <w:t xml:space="preserve">. Este hecho ya ha sido reiteradamente calificado por la investigación como un mal endémico </w:t>
      </w:r>
      <w:r w:rsidR="00744759">
        <w:rPr>
          <w:rFonts w:ascii="Arial" w:eastAsia="Times New Roman" w:hAnsi="Arial"/>
          <w:sz w:val="20"/>
          <w:szCs w:val="20"/>
          <w:lang w:val="es-ES" w:eastAsia="es-ES"/>
        </w:rPr>
        <w:t>del cooperativismo agrario</w:t>
      </w:r>
      <w:r w:rsidRPr="00A95645">
        <w:rPr>
          <w:rFonts w:ascii="Arial" w:eastAsia="Times New Roman" w:hAnsi="Arial"/>
          <w:sz w:val="20"/>
          <w:szCs w:val="20"/>
          <w:lang w:val="es-ES" w:eastAsia="es-ES"/>
        </w:rPr>
        <w:t xml:space="preserve"> español, que debe buscar mayores tasas de competitividad a través de las economías de escala que proporcionan tamaños empresariales más acordes con el actual escenario económico.</w:t>
      </w:r>
    </w:p>
    <w:p w:rsidR="004C7A23" w:rsidRDefault="004C7A23" w:rsidP="00A95645">
      <w:pPr>
        <w:pStyle w:val="Prrafodelista"/>
        <w:spacing w:after="0" w:line="240" w:lineRule="auto"/>
        <w:ind w:left="0" w:firstLine="567"/>
        <w:contextualSpacing w:val="0"/>
        <w:jc w:val="both"/>
        <w:rPr>
          <w:rFonts w:ascii="Arial" w:eastAsia="Times New Roman" w:hAnsi="Arial"/>
          <w:sz w:val="20"/>
          <w:szCs w:val="20"/>
          <w:lang w:val="es-ES" w:eastAsia="es-ES"/>
        </w:rPr>
      </w:pPr>
    </w:p>
    <w:p w:rsidR="004C7A23" w:rsidRDefault="004C7A23"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Pr>
          <w:rFonts w:ascii="Arial" w:eastAsia="Times New Roman" w:hAnsi="Arial"/>
          <w:sz w:val="20"/>
          <w:szCs w:val="20"/>
          <w:lang w:val="es-ES" w:eastAsia="es-ES"/>
        </w:rPr>
        <w:t>Por lo que respecta a la incidencia que la situación macroeconómica ha ejercido en la estrategia de financiación de estas entidades, parece evidenciarse, como era de esperar, que el entorno económico ha minorado el acceso a la financiación ajena observándose un decrecimiento notable de los ratios de endeudamiento en el año 2009 en relación a los mostrados en 2005 (situación previa a la crisis). Además, también se observa una reducción estadísticamente significativa de los gastos por amortización en relación al total de gastos de estas entidades. Este hecho puede deberse a distintos factores, como la decisión de ralentizar el ritmo de amortización del inmovilizado para no lastrar unos resultados económicos que también pueden haberse visto minorados por la situación económica, o la disminución de las inversiones en inmovilizado como consecuencia de las dificultades y restricciones de acceso a la financiación.</w:t>
      </w:r>
    </w:p>
    <w:p w:rsidR="00744759" w:rsidRPr="00A95645" w:rsidRDefault="00744759" w:rsidP="00A95645">
      <w:pPr>
        <w:pStyle w:val="Prrafodelista"/>
        <w:spacing w:after="0" w:line="240" w:lineRule="auto"/>
        <w:ind w:left="0" w:firstLine="567"/>
        <w:contextualSpacing w:val="0"/>
        <w:jc w:val="both"/>
        <w:rPr>
          <w:rFonts w:ascii="Arial" w:eastAsia="Times New Roman" w:hAnsi="Arial"/>
          <w:sz w:val="20"/>
          <w:szCs w:val="20"/>
          <w:lang w:val="es-ES" w:eastAsia="es-ES"/>
        </w:rPr>
      </w:pPr>
    </w:p>
    <w:p w:rsidR="00770542" w:rsidRDefault="00770542"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sidRPr="00A95645">
        <w:rPr>
          <w:rFonts w:ascii="Arial" w:eastAsia="Times New Roman" w:hAnsi="Arial"/>
          <w:sz w:val="20"/>
          <w:szCs w:val="20"/>
          <w:lang w:val="es-ES" w:eastAsia="es-ES"/>
        </w:rPr>
        <w:t>En relación a la Teoría del Óptimo Financiero, H</w:t>
      </w:r>
      <w:r w:rsidR="00744759">
        <w:rPr>
          <w:rFonts w:ascii="Arial" w:eastAsia="Times New Roman" w:hAnsi="Arial"/>
          <w:sz w:val="20"/>
          <w:szCs w:val="20"/>
          <w:vertAlign w:val="subscript"/>
          <w:lang w:val="es-ES" w:eastAsia="es-ES"/>
        </w:rPr>
        <w:t>1</w:t>
      </w:r>
      <w:r w:rsidRPr="00A95645">
        <w:rPr>
          <w:rFonts w:ascii="Arial" w:eastAsia="Times New Roman" w:hAnsi="Arial"/>
          <w:sz w:val="20"/>
          <w:szCs w:val="20"/>
          <w:lang w:val="es-ES" w:eastAsia="es-ES"/>
        </w:rPr>
        <w:t xml:space="preserve"> del presente trabajo, tan sólo se verifica la relación inversamente proporcional entre el ratio de gastos de amortización y gastos totales con el endeudamiento total, es decir que los beneficios fiscales asociados a la inversión en bienes de equipo incentivan a las empresas a reducir el uso de financiación ajena. Sin embargo no se han obtenido resultados significativos en referencia al endeudamiento a corto y largo plazo por lo que no es posible concluir si esta protección fiscal no vinculada a </w:t>
      </w:r>
      <w:r w:rsidR="00744759">
        <w:rPr>
          <w:rFonts w:ascii="Arial" w:eastAsia="Times New Roman" w:hAnsi="Arial"/>
          <w:sz w:val="20"/>
          <w:szCs w:val="20"/>
          <w:lang w:val="es-ES" w:eastAsia="es-ES"/>
        </w:rPr>
        <w:t xml:space="preserve">la </w:t>
      </w:r>
      <w:r w:rsidRPr="00A95645">
        <w:rPr>
          <w:rFonts w:ascii="Arial" w:eastAsia="Times New Roman" w:hAnsi="Arial"/>
          <w:sz w:val="20"/>
          <w:szCs w:val="20"/>
          <w:lang w:val="es-ES" w:eastAsia="es-ES"/>
        </w:rPr>
        <w:t>deuda tiene una incidencia positiva en la financiación ajena a largo plazo, tal como apuntan estudios anteriores.</w:t>
      </w:r>
    </w:p>
    <w:p w:rsidR="004C7A23" w:rsidRPr="00A95645" w:rsidRDefault="004C7A23" w:rsidP="00A95645">
      <w:pPr>
        <w:pStyle w:val="Prrafodelista"/>
        <w:spacing w:after="0" w:line="240" w:lineRule="auto"/>
        <w:ind w:left="0" w:firstLine="567"/>
        <w:contextualSpacing w:val="0"/>
        <w:jc w:val="both"/>
        <w:rPr>
          <w:rFonts w:ascii="Arial" w:eastAsia="Times New Roman" w:hAnsi="Arial"/>
          <w:sz w:val="20"/>
          <w:szCs w:val="20"/>
          <w:lang w:val="es-ES" w:eastAsia="es-ES"/>
        </w:rPr>
      </w:pPr>
    </w:p>
    <w:p w:rsidR="00770542" w:rsidRDefault="00770542"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sidRPr="00A95645">
        <w:rPr>
          <w:rFonts w:ascii="Arial" w:eastAsia="Times New Roman" w:hAnsi="Arial"/>
          <w:sz w:val="20"/>
          <w:szCs w:val="20"/>
          <w:lang w:val="es-ES" w:eastAsia="es-ES"/>
        </w:rPr>
        <w:t>En el caso de la Teoría de la Jerarquizaci</w:t>
      </w:r>
      <w:r w:rsidR="00744759">
        <w:rPr>
          <w:rFonts w:ascii="Arial" w:eastAsia="Times New Roman" w:hAnsi="Arial"/>
          <w:sz w:val="20"/>
          <w:szCs w:val="20"/>
          <w:lang w:val="es-ES" w:eastAsia="es-ES"/>
        </w:rPr>
        <w:t>ón Financiera, hipótesis segunda</w:t>
      </w:r>
      <w:r w:rsidRPr="00A95645">
        <w:rPr>
          <w:rFonts w:ascii="Arial" w:eastAsia="Times New Roman" w:hAnsi="Arial"/>
          <w:sz w:val="20"/>
          <w:szCs w:val="20"/>
          <w:lang w:val="es-ES" w:eastAsia="es-ES"/>
        </w:rPr>
        <w:t xml:space="preserve"> de este trabajo, tan sólo una de las variables seleccionadas ha obtenido resultados significativos en los análisis estadísticos realizados. El ratio de capitalización resulta inversamente proporcional a las variables de endeudamiento, tanto en general como considerando el plazo de vencimiento. Este resultado es consistente con la hipótesis planteada, corroborando la teoría del </w:t>
      </w:r>
      <w:proofErr w:type="spellStart"/>
      <w:r w:rsidRPr="00A95645">
        <w:rPr>
          <w:rFonts w:ascii="Arial" w:eastAsia="Times New Roman" w:hAnsi="Arial"/>
          <w:i/>
          <w:sz w:val="20"/>
          <w:szCs w:val="20"/>
          <w:lang w:val="es-ES" w:eastAsia="es-ES"/>
        </w:rPr>
        <w:t>Pecking</w:t>
      </w:r>
      <w:proofErr w:type="spellEnd"/>
      <w:r w:rsidRPr="00A95645">
        <w:rPr>
          <w:rFonts w:ascii="Arial" w:eastAsia="Times New Roman" w:hAnsi="Arial"/>
          <w:i/>
          <w:sz w:val="20"/>
          <w:szCs w:val="20"/>
          <w:lang w:val="es-ES" w:eastAsia="es-ES"/>
        </w:rPr>
        <w:t xml:space="preserve"> </w:t>
      </w:r>
      <w:proofErr w:type="spellStart"/>
      <w:r w:rsidRPr="00A95645">
        <w:rPr>
          <w:rFonts w:ascii="Arial" w:eastAsia="Times New Roman" w:hAnsi="Arial"/>
          <w:i/>
          <w:sz w:val="20"/>
          <w:szCs w:val="20"/>
          <w:lang w:val="es-ES" w:eastAsia="es-ES"/>
        </w:rPr>
        <w:t>order</w:t>
      </w:r>
      <w:proofErr w:type="spellEnd"/>
      <w:r w:rsidRPr="00A95645">
        <w:rPr>
          <w:rFonts w:ascii="Arial" w:eastAsia="Times New Roman" w:hAnsi="Arial"/>
          <w:sz w:val="20"/>
          <w:szCs w:val="20"/>
          <w:lang w:val="es-ES" w:eastAsia="es-ES"/>
        </w:rPr>
        <w:t xml:space="preserve"> y apoyando la hipótesis planteada inicialmente de que son el endeudamiento y la capitalización, ante la ausencia de autofinanciación, las fuentes de financiación predominan</w:t>
      </w:r>
      <w:r w:rsidR="00C2288B">
        <w:rPr>
          <w:rFonts w:ascii="Arial" w:eastAsia="Times New Roman" w:hAnsi="Arial"/>
          <w:sz w:val="20"/>
          <w:szCs w:val="20"/>
          <w:lang w:val="es-ES" w:eastAsia="es-ES"/>
        </w:rPr>
        <w:t>tes en las cooperativas agroalimentarias</w:t>
      </w:r>
      <w:r w:rsidRPr="00A95645">
        <w:rPr>
          <w:rFonts w:ascii="Arial" w:eastAsia="Times New Roman" w:hAnsi="Arial"/>
          <w:sz w:val="20"/>
          <w:szCs w:val="20"/>
          <w:lang w:val="es-ES" w:eastAsia="es-ES"/>
        </w:rPr>
        <w:t>.</w:t>
      </w:r>
    </w:p>
    <w:p w:rsidR="00744759" w:rsidRPr="00A95645" w:rsidRDefault="00744759" w:rsidP="00A95645">
      <w:pPr>
        <w:pStyle w:val="Prrafodelista"/>
        <w:spacing w:after="0" w:line="240" w:lineRule="auto"/>
        <w:ind w:left="0" w:firstLine="567"/>
        <w:contextualSpacing w:val="0"/>
        <w:jc w:val="both"/>
        <w:rPr>
          <w:rFonts w:ascii="Arial" w:eastAsia="Times New Roman" w:hAnsi="Arial"/>
          <w:sz w:val="20"/>
          <w:szCs w:val="20"/>
          <w:lang w:val="es-ES" w:eastAsia="es-ES"/>
        </w:rPr>
      </w:pPr>
    </w:p>
    <w:p w:rsidR="00770542" w:rsidRDefault="00770542" w:rsidP="00A95645">
      <w:pPr>
        <w:pStyle w:val="Prrafodelista"/>
        <w:spacing w:after="0" w:line="240" w:lineRule="auto"/>
        <w:ind w:left="0" w:firstLine="567"/>
        <w:contextualSpacing w:val="0"/>
        <w:jc w:val="both"/>
        <w:rPr>
          <w:rFonts w:ascii="Arial" w:hAnsi="Arial"/>
          <w:sz w:val="20"/>
          <w:szCs w:val="20"/>
        </w:rPr>
      </w:pPr>
      <w:r w:rsidRPr="00A95645">
        <w:rPr>
          <w:rFonts w:ascii="Arial" w:eastAsia="Times New Roman" w:hAnsi="Arial"/>
          <w:sz w:val="20"/>
          <w:szCs w:val="20"/>
          <w:lang w:val="es-ES" w:eastAsia="es-ES"/>
        </w:rPr>
        <w:t xml:space="preserve">Respecto al cumplimiento de la Teoría de la agencia, la variable correspondiente ha resultado estadísticamente significativa tanto en el modelo de endeudamiento a corto plazo como a largo plazo, con signo positivo en el primero y negativo en el segundo. Los valores sostienen la postura de </w:t>
      </w:r>
      <w:proofErr w:type="spellStart"/>
      <w:r w:rsidRPr="00A95645">
        <w:rPr>
          <w:rFonts w:ascii="Arial" w:hAnsi="Arial"/>
          <w:sz w:val="20"/>
          <w:szCs w:val="20"/>
        </w:rPr>
        <w:t>Scherr</w:t>
      </w:r>
      <w:proofErr w:type="spellEnd"/>
      <w:r w:rsidRPr="00A95645">
        <w:rPr>
          <w:rFonts w:ascii="Arial" w:hAnsi="Arial"/>
          <w:sz w:val="20"/>
          <w:szCs w:val="20"/>
        </w:rPr>
        <w:t xml:space="preserve"> y </w:t>
      </w:r>
      <w:proofErr w:type="spellStart"/>
      <w:r w:rsidRPr="00A95645">
        <w:rPr>
          <w:rFonts w:ascii="Arial" w:hAnsi="Arial"/>
          <w:sz w:val="20"/>
          <w:szCs w:val="20"/>
        </w:rPr>
        <w:t>Hulburt</w:t>
      </w:r>
      <w:proofErr w:type="spellEnd"/>
      <w:r w:rsidRPr="00A95645">
        <w:rPr>
          <w:rFonts w:ascii="Arial" w:hAnsi="Arial"/>
          <w:sz w:val="20"/>
          <w:szCs w:val="20"/>
        </w:rPr>
        <w:t xml:space="preserve"> (2001), poniendo de manifiesto que crecimientos en las ventas, y por tanto generación de flujos de caja, conllevan un mayor endeudamiento a corto plazo, mientras que disminuyen la utilización de deuda a largo plazo.</w:t>
      </w:r>
    </w:p>
    <w:p w:rsidR="00744759" w:rsidRPr="00A95645" w:rsidRDefault="00744759" w:rsidP="00A95645">
      <w:pPr>
        <w:pStyle w:val="Prrafodelista"/>
        <w:spacing w:after="0" w:line="240" w:lineRule="auto"/>
        <w:ind w:left="0" w:firstLine="567"/>
        <w:contextualSpacing w:val="0"/>
        <w:jc w:val="both"/>
        <w:rPr>
          <w:rFonts w:ascii="Arial" w:hAnsi="Arial"/>
          <w:sz w:val="20"/>
          <w:szCs w:val="20"/>
        </w:rPr>
      </w:pPr>
    </w:p>
    <w:p w:rsidR="00770542" w:rsidRDefault="00770542" w:rsidP="00A95645">
      <w:pPr>
        <w:pStyle w:val="Prrafodelista"/>
        <w:spacing w:after="0" w:line="240" w:lineRule="auto"/>
        <w:ind w:left="0" w:firstLine="567"/>
        <w:contextualSpacing w:val="0"/>
        <w:jc w:val="both"/>
        <w:rPr>
          <w:rFonts w:ascii="Arial" w:hAnsi="Arial"/>
          <w:sz w:val="20"/>
          <w:szCs w:val="20"/>
        </w:rPr>
      </w:pPr>
      <w:r w:rsidRPr="00A95645">
        <w:rPr>
          <w:rFonts w:ascii="Arial" w:hAnsi="Arial"/>
          <w:sz w:val="20"/>
          <w:szCs w:val="20"/>
        </w:rPr>
        <w:t>La evaluación de la hipótesis del emparejamiento por vencimientos (</w:t>
      </w:r>
      <w:r w:rsidRPr="00A95645">
        <w:rPr>
          <w:rFonts w:ascii="Arial" w:hAnsi="Arial"/>
          <w:i/>
          <w:sz w:val="20"/>
          <w:szCs w:val="20"/>
        </w:rPr>
        <w:t>“</w:t>
      </w:r>
      <w:proofErr w:type="spellStart"/>
      <w:r w:rsidRPr="00A95645">
        <w:rPr>
          <w:rFonts w:ascii="Arial" w:hAnsi="Arial"/>
          <w:i/>
          <w:sz w:val="20"/>
          <w:szCs w:val="20"/>
        </w:rPr>
        <w:t>maturity</w:t>
      </w:r>
      <w:proofErr w:type="spellEnd"/>
      <w:r w:rsidRPr="00A95645">
        <w:rPr>
          <w:rFonts w:ascii="Arial" w:hAnsi="Arial"/>
          <w:i/>
          <w:sz w:val="20"/>
          <w:szCs w:val="20"/>
        </w:rPr>
        <w:t xml:space="preserve"> </w:t>
      </w:r>
      <w:proofErr w:type="spellStart"/>
      <w:r w:rsidRPr="00A95645">
        <w:rPr>
          <w:rFonts w:ascii="Arial" w:hAnsi="Arial"/>
          <w:i/>
          <w:sz w:val="20"/>
          <w:szCs w:val="20"/>
        </w:rPr>
        <w:t>matching</w:t>
      </w:r>
      <w:proofErr w:type="spellEnd"/>
      <w:r w:rsidRPr="00A95645">
        <w:rPr>
          <w:rFonts w:ascii="Arial" w:hAnsi="Arial"/>
          <w:i/>
          <w:sz w:val="20"/>
          <w:szCs w:val="20"/>
        </w:rPr>
        <w:t xml:space="preserve"> </w:t>
      </w:r>
      <w:proofErr w:type="spellStart"/>
      <w:r w:rsidRPr="00A95645">
        <w:rPr>
          <w:rFonts w:ascii="Arial" w:hAnsi="Arial"/>
          <w:i/>
          <w:sz w:val="20"/>
          <w:szCs w:val="20"/>
        </w:rPr>
        <w:t>principle</w:t>
      </w:r>
      <w:proofErr w:type="spellEnd"/>
      <w:r w:rsidRPr="00A95645">
        <w:rPr>
          <w:rFonts w:ascii="Arial" w:hAnsi="Arial"/>
          <w:i/>
          <w:sz w:val="20"/>
          <w:szCs w:val="20"/>
        </w:rPr>
        <w:t>”</w:t>
      </w:r>
      <w:r w:rsidRPr="00A95645">
        <w:rPr>
          <w:rFonts w:ascii="Arial" w:hAnsi="Arial"/>
          <w:sz w:val="20"/>
          <w:szCs w:val="20"/>
        </w:rPr>
        <w:t>) revela un relación positiva de la variable con la deuda cuyo vencimiento sea inferior a un año y negativa con aquella que sea superior a este plazo, lo cual apoya la existencia de un equilibrio entre el plazo de vencimiento de la deuda y la composición del activo. Por el contrario, la relación entre el ratio de liquidez y el endeudamiento a corto plazo se ha revelado inversamente proporcional en la muestra estudiada, lo cual parecería sugerir que la inexistencia de liquidez en este tipo de entidades incentiva la utilización de financiación ajena a corto plazo. Esta conclusión parece coherente con la realidad del te</w:t>
      </w:r>
      <w:r w:rsidR="00744759">
        <w:rPr>
          <w:rFonts w:ascii="Arial" w:hAnsi="Arial"/>
          <w:sz w:val="20"/>
          <w:szCs w:val="20"/>
        </w:rPr>
        <w:t>jido cooperativo agrario</w:t>
      </w:r>
      <w:r w:rsidRPr="00A95645">
        <w:rPr>
          <w:rFonts w:ascii="Arial" w:hAnsi="Arial"/>
          <w:sz w:val="20"/>
          <w:szCs w:val="20"/>
        </w:rPr>
        <w:t xml:space="preserve"> español, caracterizado por constantes problemas de liquidez que llevan a estas entidades a buscar líneas de financiación del circulante.</w:t>
      </w:r>
    </w:p>
    <w:p w:rsidR="00744759" w:rsidRPr="00A95645" w:rsidRDefault="00744759" w:rsidP="00A95645">
      <w:pPr>
        <w:pStyle w:val="Prrafodelista"/>
        <w:spacing w:after="0" w:line="240" w:lineRule="auto"/>
        <w:ind w:left="0" w:firstLine="567"/>
        <w:contextualSpacing w:val="0"/>
        <w:jc w:val="both"/>
        <w:rPr>
          <w:rFonts w:ascii="Arial" w:hAnsi="Arial"/>
          <w:sz w:val="20"/>
          <w:szCs w:val="20"/>
        </w:rPr>
      </w:pPr>
    </w:p>
    <w:p w:rsidR="00770542" w:rsidRDefault="00770542" w:rsidP="00A95645">
      <w:pPr>
        <w:pStyle w:val="Prrafodelista"/>
        <w:spacing w:after="0" w:line="240" w:lineRule="auto"/>
        <w:ind w:left="0" w:firstLine="567"/>
        <w:contextualSpacing w:val="0"/>
        <w:jc w:val="both"/>
        <w:rPr>
          <w:rFonts w:ascii="Arial" w:hAnsi="Arial"/>
          <w:sz w:val="20"/>
          <w:szCs w:val="20"/>
        </w:rPr>
      </w:pPr>
      <w:r w:rsidRPr="00A95645">
        <w:rPr>
          <w:rFonts w:ascii="Arial" w:hAnsi="Arial"/>
          <w:sz w:val="20"/>
          <w:szCs w:val="20"/>
        </w:rPr>
        <w:t>Por último, en referencia a la hipótesis que trata de relacionar la dimensión empresarial de las entidades con su estructura financiera, los análisis llevados a cabo no permiten afirmar que exista relación entre estas variables puesto que no han resultado estadísticamente significativas en ninguno de los modelos propuestos.</w:t>
      </w:r>
    </w:p>
    <w:p w:rsidR="00744759" w:rsidRPr="00A95645" w:rsidRDefault="00744759" w:rsidP="00A95645">
      <w:pPr>
        <w:pStyle w:val="Prrafodelista"/>
        <w:spacing w:after="0" w:line="240" w:lineRule="auto"/>
        <w:ind w:left="0" w:firstLine="567"/>
        <w:contextualSpacing w:val="0"/>
        <w:jc w:val="both"/>
        <w:rPr>
          <w:rFonts w:ascii="Arial" w:eastAsia="Times New Roman" w:hAnsi="Arial"/>
          <w:sz w:val="20"/>
          <w:szCs w:val="20"/>
          <w:lang w:val="es-ES" w:eastAsia="es-ES"/>
        </w:rPr>
      </w:pPr>
    </w:p>
    <w:p w:rsidR="00770542" w:rsidRDefault="00B57942" w:rsidP="00A95645">
      <w:pPr>
        <w:pStyle w:val="Prrafodelista"/>
        <w:spacing w:after="0" w:line="240" w:lineRule="auto"/>
        <w:ind w:left="0" w:firstLine="567"/>
        <w:contextualSpacing w:val="0"/>
        <w:jc w:val="both"/>
        <w:rPr>
          <w:rFonts w:ascii="Arial" w:eastAsia="Times New Roman" w:hAnsi="Arial"/>
          <w:sz w:val="20"/>
          <w:szCs w:val="20"/>
          <w:lang w:val="es-ES" w:eastAsia="es-ES"/>
        </w:rPr>
      </w:pPr>
      <w:r>
        <w:rPr>
          <w:rFonts w:ascii="Arial" w:eastAsia="Times New Roman" w:hAnsi="Arial"/>
          <w:sz w:val="20"/>
          <w:szCs w:val="20"/>
          <w:lang w:val="es-ES" w:eastAsia="es-ES"/>
        </w:rPr>
        <w:t>Los resultados de este trabajo</w:t>
      </w:r>
      <w:r w:rsidR="00770542" w:rsidRPr="00A95645">
        <w:rPr>
          <w:rFonts w:ascii="Arial" w:eastAsia="Times New Roman" w:hAnsi="Arial"/>
          <w:sz w:val="20"/>
          <w:szCs w:val="20"/>
          <w:lang w:val="es-ES" w:eastAsia="es-ES"/>
        </w:rPr>
        <w:t xml:space="preserve"> son significativos y contribuyen a añadir evidencia empírica a la construcción de una teoría sobre la estructura financiera en las cooperativas. La composición de la financiación en este tipo de entidades y el estudio de su relación con otros factores resulta clave, máxime en momentos actuales en los que el acceso a los recursos </w:t>
      </w:r>
      <w:r w:rsidR="00744759">
        <w:rPr>
          <w:rFonts w:ascii="Arial" w:eastAsia="Times New Roman" w:hAnsi="Arial"/>
          <w:sz w:val="20"/>
          <w:szCs w:val="20"/>
          <w:lang w:val="es-ES" w:eastAsia="es-ES"/>
        </w:rPr>
        <w:t xml:space="preserve">financieros </w:t>
      </w:r>
      <w:r w:rsidR="00770542" w:rsidRPr="00A95645">
        <w:rPr>
          <w:rFonts w:ascii="Arial" w:eastAsia="Times New Roman" w:hAnsi="Arial"/>
          <w:sz w:val="20"/>
          <w:szCs w:val="20"/>
          <w:lang w:val="es-ES" w:eastAsia="es-ES"/>
        </w:rPr>
        <w:t>es limitado. No obstante, hay que reconocer ciertas limitaciones</w:t>
      </w:r>
      <w:r>
        <w:rPr>
          <w:rFonts w:ascii="Arial" w:eastAsia="Times New Roman" w:hAnsi="Arial"/>
          <w:sz w:val="20"/>
          <w:szCs w:val="20"/>
          <w:lang w:val="es-ES" w:eastAsia="es-ES"/>
        </w:rPr>
        <w:t xml:space="preserve"> al estudio</w:t>
      </w:r>
      <w:r w:rsidR="00770542" w:rsidRPr="00A95645">
        <w:rPr>
          <w:rFonts w:ascii="Arial" w:eastAsia="Times New Roman" w:hAnsi="Arial"/>
          <w:sz w:val="20"/>
          <w:szCs w:val="20"/>
          <w:lang w:val="es-ES" w:eastAsia="es-ES"/>
        </w:rPr>
        <w:t>, como el hecho de haber acotado el estudio a un sector concreto, la insuficiente calidad de la información contable</w:t>
      </w:r>
      <w:r>
        <w:rPr>
          <w:rFonts w:ascii="Arial" w:eastAsia="Times New Roman" w:hAnsi="Arial"/>
          <w:sz w:val="20"/>
          <w:szCs w:val="20"/>
          <w:lang w:val="es-ES" w:eastAsia="es-ES"/>
        </w:rPr>
        <w:t xml:space="preserve"> no adaptada a las particularidades de las entidades estudiadas</w:t>
      </w:r>
      <w:r w:rsidR="00770542" w:rsidRPr="00A95645">
        <w:rPr>
          <w:rFonts w:ascii="Arial" w:eastAsia="Times New Roman" w:hAnsi="Arial"/>
          <w:sz w:val="20"/>
          <w:szCs w:val="20"/>
          <w:lang w:val="es-ES" w:eastAsia="es-ES"/>
        </w:rPr>
        <w:t>, la heterogeneidad observada dentro de la</w:t>
      </w:r>
      <w:r>
        <w:rPr>
          <w:rFonts w:ascii="Arial" w:eastAsia="Times New Roman" w:hAnsi="Arial"/>
          <w:sz w:val="20"/>
          <w:szCs w:val="20"/>
          <w:lang w:val="es-ES" w:eastAsia="es-ES"/>
        </w:rPr>
        <w:t>s</w:t>
      </w:r>
      <w:r w:rsidR="00770542" w:rsidRPr="00A95645">
        <w:rPr>
          <w:rFonts w:ascii="Arial" w:eastAsia="Times New Roman" w:hAnsi="Arial"/>
          <w:sz w:val="20"/>
          <w:szCs w:val="20"/>
          <w:lang w:val="es-ES" w:eastAsia="es-ES"/>
        </w:rPr>
        <w:t xml:space="preserve"> muestra</w:t>
      </w:r>
      <w:r>
        <w:rPr>
          <w:rFonts w:ascii="Arial" w:eastAsia="Times New Roman" w:hAnsi="Arial"/>
          <w:sz w:val="20"/>
          <w:szCs w:val="20"/>
          <w:lang w:val="es-ES" w:eastAsia="es-ES"/>
        </w:rPr>
        <w:t>s</w:t>
      </w:r>
      <w:r w:rsidR="00770542" w:rsidRPr="00A95645">
        <w:rPr>
          <w:rFonts w:ascii="Arial" w:eastAsia="Times New Roman" w:hAnsi="Arial"/>
          <w:sz w:val="20"/>
          <w:szCs w:val="20"/>
          <w:lang w:val="es-ES" w:eastAsia="es-ES"/>
        </w:rPr>
        <w:t xml:space="preserve">, el hecho de haber manejado </w:t>
      </w:r>
      <w:r>
        <w:rPr>
          <w:rFonts w:ascii="Arial" w:eastAsia="Times New Roman" w:hAnsi="Arial"/>
          <w:sz w:val="20"/>
          <w:szCs w:val="20"/>
          <w:lang w:val="es-ES" w:eastAsia="es-ES"/>
        </w:rPr>
        <w:t xml:space="preserve">en el análisis de regresión </w:t>
      </w:r>
      <w:r w:rsidR="00770542" w:rsidRPr="00A95645">
        <w:rPr>
          <w:rFonts w:ascii="Arial" w:eastAsia="Times New Roman" w:hAnsi="Arial"/>
          <w:sz w:val="20"/>
          <w:szCs w:val="20"/>
          <w:lang w:val="es-ES" w:eastAsia="es-ES"/>
        </w:rPr>
        <w:t xml:space="preserve">datos contables de un solo ejercicio económico (2009) y la utilización de técnicas de regresión con variables que presentan marcadas asimetrías. Estudios posteriores ampliados a otros sectores de actividad contribuirán sin duda a un mejor conocimiento de la realidad económico-financiera de </w:t>
      </w:r>
      <w:r>
        <w:rPr>
          <w:rFonts w:ascii="Arial" w:eastAsia="Times New Roman" w:hAnsi="Arial"/>
          <w:sz w:val="20"/>
          <w:szCs w:val="20"/>
          <w:lang w:val="es-ES" w:eastAsia="es-ES"/>
        </w:rPr>
        <w:t xml:space="preserve">algunas de </w:t>
      </w:r>
      <w:r w:rsidR="00770542" w:rsidRPr="00A95645">
        <w:rPr>
          <w:rFonts w:ascii="Arial" w:eastAsia="Times New Roman" w:hAnsi="Arial"/>
          <w:sz w:val="20"/>
          <w:szCs w:val="20"/>
          <w:lang w:val="es-ES" w:eastAsia="es-ES"/>
        </w:rPr>
        <w:t xml:space="preserve">las entidades de la Economía Social. </w:t>
      </w:r>
    </w:p>
    <w:p w:rsidR="00A95645" w:rsidRPr="00A95645" w:rsidRDefault="00A95645" w:rsidP="00A95645">
      <w:pPr>
        <w:pStyle w:val="Prrafodelista"/>
        <w:spacing w:after="0" w:line="240" w:lineRule="auto"/>
        <w:ind w:left="0" w:firstLine="567"/>
        <w:contextualSpacing w:val="0"/>
        <w:jc w:val="both"/>
        <w:rPr>
          <w:rFonts w:ascii="Arial" w:eastAsia="Times New Roman" w:hAnsi="Arial"/>
          <w:sz w:val="20"/>
          <w:szCs w:val="20"/>
          <w:lang w:val="es-ES" w:eastAsia="es-ES"/>
        </w:rPr>
      </w:pPr>
    </w:p>
    <w:p w:rsidR="00C2288B" w:rsidRDefault="00C2288B" w:rsidP="00A95645">
      <w:pPr>
        <w:pStyle w:val="Textoindependiente"/>
        <w:spacing w:before="0" w:after="0"/>
        <w:rPr>
          <w:rFonts w:ascii="Arial" w:hAnsi="Arial"/>
          <w:b/>
          <w:bCs/>
          <w:sz w:val="20"/>
          <w:szCs w:val="20"/>
        </w:rPr>
      </w:pPr>
    </w:p>
    <w:p w:rsidR="00770542" w:rsidRPr="00A95645" w:rsidRDefault="00770542" w:rsidP="00A95645">
      <w:pPr>
        <w:pStyle w:val="Textoindependiente"/>
        <w:spacing w:before="0" w:after="0"/>
        <w:rPr>
          <w:rFonts w:ascii="Arial" w:hAnsi="Arial"/>
          <w:b/>
          <w:bCs/>
          <w:sz w:val="20"/>
          <w:szCs w:val="20"/>
        </w:rPr>
      </w:pPr>
      <w:r w:rsidRPr="00A95645">
        <w:rPr>
          <w:rFonts w:ascii="Arial" w:hAnsi="Arial"/>
          <w:b/>
          <w:bCs/>
          <w:sz w:val="20"/>
          <w:szCs w:val="20"/>
        </w:rPr>
        <w:t>Bibliografía</w:t>
      </w:r>
    </w:p>
    <w:p w:rsidR="00C2288B" w:rsidRDefault="00C2288B" w:rsidP="00C2288B">
      <w:pPr>
        <w:pStyle w:val="Prrafodelista"/>
        <w:spacing w:after="0" w:line="240" w:lineRule="auto"/>
        <w:ind w:left="0"/>
        <w:contextualSpacing w:val="0"/>
        <w:jc w:val="both"/>
        <w:rPr>
          <w:rFonts w:ascii="Arial" w:hAnsi="Arial"/>
          <w:sz w:val="20"/>
          <w:szCs w:val="20"/>
          <w:lang w:val="es-E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s-ES"/>
        </w:rPr>
      </w:pPr>
      <w:r w:rsidRPr="00C2288B">
        <w:rPr>
          <w:rFonts w:ascii="Arial" w:hAnsi="Arial"/>
          <w:sz w:val="20"/>
          <w:szCs w:val="20"/>
          <w:lang w:val="es-ES"/>
        </w:rPr>
        <w:t xml:space="preserve">Alarcón, S. (2008). “Endeudamiento y eficiencia en las empresas agrarias”. </w:t>
      </w:r>
      <w:r w:rsidRPr="00C2288B">
        <w:rPr>
          <w:rFonts w:ascii="Arial" w:hAnsi="Arial"/>
          <w:i/>
          <w:sz w:val="20"/>
          <w:szCs w:val="20"/>
          <w:lang w:val="es-ES"/>
        </w:rPr>
        <w:t>Revista Española de Financiación y Contabilidad</w:t>
      </w:r>
      <w:r w:rsidRPr="00C2288B">
        <w:rPr>
          <w:rFonts w:ascii="Arial" w:hAnsi="Arial"/>
          <w:sz w:val="20"/>
          <w:szCs w:val="20"/>
          <w:lang w:val="es-ES"/>
        </w:rPr>
        <w:t>, XXXVII(138): 211-230.</w:t>
      </w:r>
    </w:p>
    <w:p w:rsidR="00C2288B" w:rsidRPr="001F329C" w:rsidRDefault="00C2288B" w:rsidP="00C2288B">
      <w:pPr>
        <w:pStyle w:val="Prrafodelista"/>
        <w:spacing w:after="0" w:line="240" w:lineRule="auto"/>
        <w:ind w:left="0"/>
        <w:contextualSpacing w:val="0"/>
        <w:jc w:val="both"/>
        <w:rPr>
          <w:rFonts w:ascii="Arial" w:hAnsi="Arial"/>
          <w:sz w:val="20"/>
          <w:szCs w:val="20"/>
          <w:lang w:val="es-ES"/>
        </w:rPr>
      </w:pPr>
    </w:p>
    <w:p w:rsidR="00D1101E" w:rsidRPr="00C2288B" w:rsidRDefault="00D1101E" w:rsidP="00C2288B">
      <w:pPr>
        <w:pStyle w:val="Prrafodelista"/>
        <w:spacing w:after="0" w:line="240" w:lineRule="auto"/>
        <w:ind w:left="0"/>
        <w:contextualSpacing w:val="0"/>
        <w:jc w:val="both"/>
        <w:rPr>
          <w:rFonts w:ascii="Arial" w:hAnsi="Arial"/>
          <w:sz w:val="20"/>
          <w:szCs w:val="20"/>
          <w:lang w:val="en-US"/>
        </w:rPr>
      </w:pPr>
      <w:r w:rsidRPr="00CB27A4">
        <w:rPr>
          <w:rFonts w:ascii="Arial" w:hAnsi="Arial"/>
          <w:sz w:val="20"/>
          <w:szCs w:val="20"/>
          <w:lang w:val="es-ES"/>
        </w:rPr>
        <w:t>Azofra, V.; Rodríguez, J.A. (</w:t>
      </w:r>
      <w:r w:rsidR="00337574" w:rsidRPr="00CB27A4">
        <w:rPr>
          <w:rFonts w:ascii="Arial" w:hAnsi="Arial"/>
          <w:sz w:val="20"/>
          <w:szCs w:val="20"/>
          <w:lang w:val="es-ES"/>
        </w:rPr>
        <w:t xml:space="preserve">2012). </w:t>
      </w:r>
      <w:r w:rsidR="00337574" w:rsidRPr="00470A2D">
        <w:rPr>
          <w:rFonts w:ascii="Arial" w:hAnsi="Arial"/>
          <w:sz w:val="20"/>
          <w:szCs w:val="20"/>
          <w:lang w:val="es-ES"/>
        </w:rPr>
        <w:t xml:space="preserve">“El endeudamiento de la empresa española: teorías y realidades”. </w:t>
      </w:r>
      <w:proofErr w:type="spellStart"/>
      <w:r w:rsidR="00337574" w:rsidRPr="00C2288B">
        <w:rPr>
          <w:rFonts w:ascii="Arial" w:hAnsi="Arial"/>
          <w:i/>
          <w:sz w:val="20"/>
          <w:szCs w:val="20"/>
          <w:lang w:val="en-US"/>
        </w:rPr>
        <w:t>Papeles</w:t>
      </w:r>
      <w:proofErr w:type="spellEnd"/>
      <w:r w:rsidR="00337574" w:rsidRPr="00C2288B">
        <w:rPr>
          <w:rFonts w:ascii="Arial" w:hAnsi="Arial"/>
          <w:i/>
          <w:sz w:val="20"/>
          <w:szCs w:val="20"/>
          <w:lang w:val="en-US"/>
        </w:rPr>
        <w:t xml:space="preserve"> de </w:t>
      </w:r>
      <w:proofErr w:type="spellStart"/>
      <w:r w:rsidR="00337574" w:rsidRPr="00C2288B">
        <w:rPr>
          <w:rFonts w:ascii="Arial" w:hAnsi="Arial"/>
          <w:i/>
          <w:sz w:val="20"/>
          <w:szCs w:val="20"/>
          <w:lang w:val="en-US"/>
        </w:rPr>
        <w:t>Economía</w:t>
      </w:r>
      <w:proofErr w:type="spellEnd"/>
      <w:r w:rsidR="00337574" w:rsidRPr="00C2288B">
        <w:rPr>
          <w:rFonts w:ascii="Arial" w:hAnsi="Arial"/>
          <w:i/>
          <w:sz w:val="20"/>
          <w:szCs w:val="20"/>
          <w:lang w:val="en-US"/>
        </w:rPr>
        <w:t xml:space="preserve"> Española,</w:t>
      </w:r>
      <w:r w:rsidR="00337574" w:rsidRPr="00C2288B">
        <w:rPr>
          <w:rFonts w:ascii="Arial" w:hAnsi="Arial"/>
          <w:sz w:val="20"/>
          <w:szCs w:val="20"/>
          <w:lang w:val="en-US"/>
        </w:rPr>
        <w:t xml:space="preserve"> 132: 37-61.</w:t>
      </w:r>
    </w:p>
    <w:p w:rsidR="00C2288B" w:rsidRDefault="00C2288B" w:rsidP="00C2288B">
      <w:pPr>
        <w:pStyle w:val="Prrafodelista"/>
        <w:spacing w:after="0" w:line="240" w:lineRule="auto"/>
        <w:ind w:left="0"/>
        <w:contextualSpacing w:val="0"/>
        <w:jc w:val="both"/>
        <w:rPr>
          <w:rFonts w:ascii="Arial" w:hAnsi="Arial"/>
          <w:sz w:val="20"/>
          <w:szCs w:val="20"/>
          <w:lang w:val="en-U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n-US"/>
        </w:rPr>
      </w:pPr>
      <w:proofErr w:type="spellStart"/>
      <w:r w:rsidRPr="00C2288B">
        <w:rPr>
          <w:rFonts w:ascii="Arial" w:hAnsi="Arial"/>
          <w:sz w:val="20"/>
          <w:szCs w:val="20"/>
          <w:lang w:val="en-US"/>
        </w:rPr>
        <w:t>Brav</w:t>
      </w:r>
      <w:proofErr w:type="spellEnd"/>
      <w:r w:rsidRPr="00C2288B">
        <w:rPr>
          <w:rFonts w:ascii="Arial" w:hAnsi="Arial"/>
          <w:sz w:val="20"/>
          <w:szCs w:val="20"/>
          <w:lang w:val="en-US"/>
        </w:rPr>
        <w:t xml:space="preserve">, O. (2009). </w:t>
      </w:r>
      <w:proofErr w:type="gramStart"/>
      <w:r w:rsidRPr="00C2288B">
        <w:rPr>
          <w:rFonts w:ascii="Arial" w:hAnsi="Arial"/>
          <w:sz w:val="20"/>
          <w:szCs w:val="20"/>
          <w:lang w:val="en-US"/>
        </w:rPr>
        <w:t>“Access to capital, capital structure, and the funding of the firm”.</w:t>
      </w:r>
      <w:proofErr w:type="gramEnd"/>
      <w:r w:rsidRPr="00C2288B">
        <w:rPr>
          <w:rFonts w:ascii="Arial" w:hAnsi="Arial"/>
          <w:sz w:val="20"/>
          <w:szCs w:val="20"/>
          <w:lang w:val="en-US"/>
        </w:rPr>
        <w:t xml:space="preserve"> </w:t>
      </w:r>
      <w:r w:rsidRPr="00C2288B">
        <w:rPr>
          <w:rFonts w:ascii="Arial" w:hAnsi="Arial"/>
          <w:i/>
          <w:sz w:val="20"/>
          <w:szCs w:val="20"/>
          <w:lang w:val="en-US"/>
        </w:rPr>
        <w:t xml:space="preserve">The Journal of Finance, </w:t>
      </w:r>
      <w:proofErr w:type="gramStart"/>
      <w:r w:rsidRPr="00C2288B">
        <w:rPr>
          <w:rFonts w:ascii="Arial" w:hAnsi="Arial"/>
          <w:sz w:val="20"/>
          <w:szCs w:val="20"/>
          <w:lang w:val="en-US"/>
        </w:rPr>
        <w:t>LXIV(</w:t>
      </w:r>
      <w:proofErr w:type="gramEnd"/>
      <w:r w:rsidRPr="00C2288B">
        <w:rPr>
          <w:rFonts w:ascii="Arial" w:hAnsi="Arial"/>
          <w:sz w:val="20"/>
          <w:szCs w:val="20"/>
          <w:lang w:val="en-US"/>
        </w:rPr>
        <w:t>1): 263-308. DOI: 10.1111/j.1540-6261.2008.01434.x.</w:t>
      </w:r>
    </w:p>
    <w:p w:rsidR="00C2288B" w:rsidRPr="00470A2D" w:rsidRDefault="00C2288B" w:rsidP="00C2288B">
      <w:pPr>
        <w:pStyle w:val="Prrafodelista"/>
        <w:spacing w:after="0" w:line="240" w:lineRule="auto"/>
        <w:ind w:left="0"/>
        <w:contextualSpacing w:val="0"/>
        <w:jc w:val="both"/>
        <w:rPr>
          <w:rFonts w:ascii="Arial" w:hAnsi="Arial"/>
          <w:sz w:val="20"/>
          <w:szCs w:val="20"/>
          <w:lang w:val="en-US"/>
        </w:rPr>
      </w:pPr>
    </w:p>
    <w:p w:rsidR="00770542" w:rsidRPr="00470A2D" w:rsidRDefault="00770542" w:rsidP="00C2288B">
      <w:pPr>
        <w:pStyle w:val="Prrafodelista"/>
        <w:spacing w:after="0" w:line="240" w:lineRule="auto"/>
        <w:ind w:left="0"/>
        <w:contextualSpacing w:val="0"/>
        <w:jc w:val="both"/>
        <w:rPr>
          <w:rFonts w:ascii="Arial" w:hAnsi="Arial"/>
          <w:sz w:val="20"/>
          <w:szCs w:val="20"/>
          <w:lang w:val="es-ES"/>
        </w:rPr>
      </w:pPr>
      <w:proofErr w:type="spellStart"/>
      <w:r w:rsidRPr="00470A2D">
        <w:rPr>
          <w:rFonts w:ascii="Arial" w:hAnsi="Arial"/>
          <w:sz w:val="20"/>
          <w:szCs w:val="20"/>
          <w:lang w:val="en-US"/>
        </w:rPr>
        <w:t>Brealey</w:t>
      </w:r>
      <w:proofErr w:type="spellEnd"/>
      <w:r w:rsidRPr="00470A2D">
        <w:rPr>
          <w:rFonts w:ascii="Arial" w:hAnsi="Arial"/>
          <w:sz w:val="20"/>
          <w:szCs w:val="20"/>
          <w:lang w:val="en-US"/>
        </w:rPr>
        <w:t xml:space="preserve">, R. y Myers, S. (2003). </w:t>
      </w:r>
      <w:r w:rsidRPr="00C2288B">
        <w:rPr>
          <w:rFonts w:ascii="Arial" w:hAnsi="Arial"/>
          <w:i/>
          <w:sz w:val="20"/>
          <w:szCs w:val="20"/>
          <w:lang w:val="es-ES"/>
        </w:rPr>
        <w:t>Fundamentos de financiación empresarial</w:t>
      </w:r>
      <w:r w:rsidRPr="00C2288B">
        <w:rPr>
          <w:rFonts w:ascii="Arial" w:hAnsi="Arial"/>
          <w:sz w:val="20"/>
          <w:szCs w:val="20"/>
          <w:lang w:val="es-ES"/>
        </w:rPr>
        <w:t xml:space="preserve">. </w:t>
      </w:r>
      <w:r w:rsidRPr="00470A2D">
        <w:rPr>
          <w:rFonts w:ascii="Arial" w:hAnsi="Arial"/>
          <w:sz w:val="20"/>
          <w:szCs w:val="20"/>
          <w:lang w:val="es-ES"/>
        </w:rPr>
        <w:t xml:space="preserve">McGraw-Hill, Madrid. </w:t>
      </w:r>
    </w:p>
    <w:p w:rsidR="00C2288B" w:rsidRPr="00470A2D" w:rsidRDefault="00C2288B" w:rsidP="00C2288B">
      <w:pPr>
        <w:pStyle w:val="Prrafodelista"/>
        <w:spacing w:after="0" w:line="240" w:lineRule="auto"/>
        <w:ind w:left="0"/>
        <w:contextualSpacing w:val="0"/>
        <w:jc w:val="both"/>
        <w:rPr>
          <w:rFonts w:ascii="Arial" w:hAnsi="Arial"/>
          <w:sz w:val="20"/>
          <w:szCs w:val="20"/>
          <w:lang w:val="es-ES"/>
        </w:rPr>
      </w:pPr>
    </w:p>
    <w:p w:rsidR="00770542" w:rsidRPr="00470A2D" w:rsidRDefault="00770542" w:rsidP="00C2288B">
      <w:pPr>
        <w:pStyle w:val="Prrafodelista"/>
        <w:spacing w:after="0" w:line="240" w:lineRule="auto"/>
        <w:ind w:left="0"/>
        <w:contextualSpacing w:val="0"/>
        <w:jc w:val="both"/>
        <w:rPr>
          <w:rFonts w:ascii="Arial" w:hAnsi="Arial"/>
          <w:sz w:val="20"/>
          <w:szCs w:val="20"/>
          <w:lang w:val="en-US"/>
        </w:rPr>
      </w:pPr>
      <w:r w:rsidRPr="00CB27A4">
        <w:rPr>
          <w:rFonts w:ascii="Arial" w:hAnsi="Arial"/>
          <w:sz w:val="20"/>
          <w:szCs w:val="20"/>
          <w:lang w:val="es-ES"/>
        </w:rPr>
        <w:t xml:space="preserve">Chavas, J.P. y </w:t>
      </w:r>
      <w:proofErr w:type="spellStart"/>
      <w:r w:rsidRPr="00CB27A4">
        <w:rPr>
          <w:rFonts w:ascii="Arial" w:hAnsi="Arial"/>
          <w:sz w:val="20"/>
          <w:szCs w:val="20"/>
          <w:lang w:val="es-ES"/>
        </w:rPr>
        <w:t>Aliber</w:t>
      </w:r>
      <w:proofErr w:type="spellEnd"/>
      <w:r w:rsidRPr="00CB27A4">
        <w:rPr>
          <w:rFonts w:ascii="Arial" w:hAnsi="Arial"/>
          <w:sz w:val="20"/>
          <w:szCs w:val="20"/>
          <w:lang w:val="es-ES"/>
        </w:rPr>
        <w:t xml:space="preserve">, M. (1993). </w:t>
      </w:r>
      <w:r w:rsidRPr="00C2288B">
        <w:rPr>
          <w:rFonts w:ascii="Arial" w:hAnsi="Arial"/>
          <w:sz w:val="20"/>
          <w:szCs w:val="20"/>
          <w:lang w:val="en-US"/>
        </w:rPr>
        <w:t xml:space="preserve">“An analysis of economic efficiency in agriculture: A nonparametric approach”. </w:t>
      </w:r>
      <w:r w:rsidRPr="00C2288B">
        <w:rPr>
          <w:rFonts w:ascii="Arial" w:hAnsi="Arial"/>
          <w:i/>
          <w:sz w:val="20"/>
          <w:szCs w:val="20"/>
          <w:lang w:val="en-US"/>
        </w:rPr>
        <w:t>Journal of Ag</w:t>
      </w:r>
      <w:r w:rsidRPr="00470A2D">
        <w:rPr>
          <w:rFonts w:ascii="Arial" w:hAnsi="Arial"/>
          <w:i/>
          <w:sz w:val="20"/>
          <w:szCs w:val="20"/>
          <w:lang w:val="en-US"/>
        </w:rPr>
        <w:t>riculture and Resource Economics,</w:t>
      </w:r>
      <w:r w:rsidRPr="00470A2D">
        <w:rPr>
          <w:rFonts w:ascii="Arial" w:hAnsi="Arial"/>
          <w:sz w:val="20"/>
          <w:szCs w:val="20"/>
          <w:lang w:val="en-US"/>
        </w:rPr>
        <w:t xml:space="preserve"> 18(1): 1-16.</w:t>
      </w:r>
    </w:p>
    <w:p w:rsidR="00C2288B" w:rsidRPr="00470A2D" w:rsidRDefault="00C2288B" w:rsidP="00C2288B">
      <w:pPr>
        <w:pStyle w:val="Prrafodelista"/>
        <w:spacing w:after="0" w:line="240" w:lineRule="auto"/>
        <w:ind w:left="0"/>
        <w:contextualSpacing w:val="0"/>
        <w:jc w:val="both"/>
        <w:rPr>
          <w:rFonts w:ascii="Arial" w:hAnsi="Arial"/>
          <w:sz w:val="20"/>
          <w:szCs w:val="20"/>
          <w:lang w:val="en-US"/>
        </w:rPr>
      </w:pPr>
    </w:p>
    <w:p w:rsidR="00770542" w:rsidRPr="00C2288B" w:rsidRDefault="00770542" w:rsidP="00C2288B">
      <w:pPr>
        <w:pStyle w:val="Prrafodelista"/>
        <w:spacing w:after="0" w:line="240" w:lineRule="auto"/>
        <w:ind w:left="0"/>
        <w:contextualSpacing w:val="0"/>
        <w:jc w:val="both"/>
        <w:rPr>
          <w:rFonts w:ascii="Arial" w:hAnsi="Arial"/>
          <w:i/>
          <w:sz w:val="20"/>
          <w:szCs w:val="20"/>
          <w:lang w:val="es-ES"/>
        </w:rPr>
      </w:pPr>
      <w:r w:rsidRPr="001F329C">
        <w:rPr>
          <w:rFonts w:ascii="Arial" w:hAnsi="Arial"/>
          <w:sz w:val="20"/>
          <w:szCs w:val="20"/>
          <w:lang w:val="es-ES"/>
        </w:rPr>
        <w:t>Coo</w:t>
      </w:r>
      <w:r w:rsidR="00337574" w:rsidRPr="001F329C">
        <w:rPr>
          <w:rFonts w:ascii="Arial" w:hAnsi="Arial"/>
          <w:sz w:val="20"/>
          <w:szCs w:val="20"/>
          <w:lang w:val="es-ES"/>
        </w:rPr>
        <w:t>perativas Agroalimentarias (2012</w:t>
      </w:r>
      <w:r w:rsidRPr="001F329C">
        <w:rPr>
          <w:rFonts w:ascii="Arial" w:hAnsi="Arial"/>
          <w:sz w:val="20"/>
          <w:szCs w:val="20"/>
          <w:lang w:val="es-ES"/>
        </w:rPr>
        <w:t xml:space="preserve">). </w:t>
      </w:r>
      <w:r w:rsidRPr="001F329C">
        <w:rPr>
          <w:rFonts w:ascii="Arial" w:hAnsi="Arial"/>
          <w:i/>
          <w:sz w:val="20"/>
          <w:szCs w:val="20"/>
          <w:lang w:val="es-ES"/>
        </w:rPr>
        <w:t>OSCAE. Observatorio socioeconómico del cooperativismo agrario español.</w:t>
      </w:r>
      <w:r w:rsidR="00337574" w:rsidRPr="001F329C">
        <w:rPr>
          <w:rFonts w:ascii="Arial" w:hAnsi="Arial"/>
          <w:i/>
          <w:sz w:val="20"/>
          <w:szCs w:val="20"/>
          <w:lang w:val="es-ES"/>
        </w:rPr>
        <w:t xml:space="preserve"> </w:t>
      </w:r>
      <w:proofErr w:type="spellStart"/>
      <w:r w:rsidR="00337574" w:rsidRPr="001F329C">
        <w:rPr>
          <w:rFonts w:ascii="Arial" w:hAnsi="Arial"/>
          <w:i/>
          <w:sz w:val="20"/>
          <w:szCs w:val="20"/>
          <w:lang w:val="es-ES"/>
        </w:rPr>
        <w:t>Macromagnitudes</w:t>
      </w:r>
      <w:proofErr w:type="spellEnd"/>
      <w:r w:rsidR="00337574" w:rsidRPr="001F329C">
        <w:rPr>
          <w:rFonts w:ascii="Arial" w:hAnsi="Arial"/>
          <w:i/>
          <w:sz w:val="20"/>
          <w:szCs w:val="20"/>
          <w:lang w:val="es-ES"/>
        </w:rPr>
        <w:t xml:space="preserve"> del cooperativismo </w:t>
      </w:r>
      <w:proofErr w:type="spellStart"/>
      <w:r w:rsidR="00337574" w:rsidRPr="001F329C">
        <w:rPr>
          <w:rFonts w:ascii="Arial" w:hAnsi="Arial"/>
          <w:i/>
          <w:sz w:val="20"/>
          <w:szCs w:val="20"/>
          <w:lang w:val="es-ES"/>
        </w:rPr>
        <w:t>agroalimetario</w:t>
      </w:r>
      <w:proofErr w:type="spellEnd"/>
      <w:r w:rsidR="00337574" w:rsidRPr="001F329C">
        <w:rPr>
          <w:rFonts w:ascii="Arial" w:hAnsi="Arial"/>
          <w:i/>
          <w:sz w:val="20"/>
          <w:szCs w:val="20"/>
          <w:lang w:val="es-ES"/>
        </w:rPr>
        <w:t xml:space="preserve"> español.</w:t>
      </w:r>
      <w:r w:rsidRPr="001F329C">
        <w:rPr>
          <w:rFonts w:ascii="Arial" w:hAnsi="Arial"/>
          <w:i/>
          <w:sz w:val="20"/>
          <w:szCs w:val="20"/>
          <w:lang w:val="es-ES"/>
        </w:rPr>
        <w:t xml:space="preserve"> </w:t>
      </w:r>
      <w:r w:rsidRPr="00C2288B">
        <w:rPr>
          <w:rFonts w:ascii="Arial" w:hAnsi="Arial"/>
          <w:i/>
          <w:sz w:val="20"/>
          <w:szCs w:val="20"/>
          <w:lang w:val="es-ES"/>
        </w:rPr>
        <w:t>Disponi</w:t>
      </w:r>
      <w:r w:rsidR="00337574" w:rsidRPr="00C2288B">
        <w:rPr>
          <w:rFonts w:ascii="Arial" w:hAnsi="Arial"/>
          <w:i/>
          <w:sz w:val="20"/>
          <w:szCs w:val="20"/>
          <w:lang w:val="es-ES"/>
        </w:rPr>
        <w:t>ble en: http://www.agro-alimentarias.coop/ficheros/doc/04006.pdf</w:t>
      </w:r>
    </w:p>
    <w:p w:rsidR="00C2288B" w:rsidRDefault="00C2288B" w:rsidP="00C2288B">
      <w:pPr>
        <w:pStyle w:val="Prrafodelista"/>
        <w:spacing w:after="0" w:line="240" w:lineRule="auto"/>
        <w:ind w:left="0"/>
        <w:contextualSpacing w:val="0"/>
        <w:jc w:val="both"/>
        <w:rPr>
          <w:rFonts w:ascii="Arial" w:hAnsi="Arial"/>
          <w:sz w:val="20"/>
          <w:szCs w:val="20"/>
          <w:lang w:val="es-E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s-ES"/>
        </w:rPr>
      </w:pPr>
      <w:proofErr w:type="spellStart"/>
      <w:r w:rsidRPr="00C2288B">
        <w:rPr>
          <w:rFonts w:ascii="Arial" w:hAnsi="Arial"/>
          <w:sz w:val="20"/>
          <w:szCs w:val="20"/>
          <w:lang w:val="es-ES"/>
        </w:rPr>
        <w:t>DeAngelo</w:t>
      </w:r>
      <w:proofErr w:type="spellEnd"/>
      <w:r w:rsidRPr="00C2288B">
        <w:rPr>
          <w:rFonts w:ascii="Arial" w:hAnsi="Arial"/>
          <w:sz w:val="20"/>
          <w:szCs w:val="20"/>
          <w:lang w:val="es-ES"/>
        </w:rPr>
        <w:t xml:space="preserve"> y H. y </w:t>
      </w:r>
      <w:proofErr w:type="spellStart"/>
      <w:r w:rsidRPr="00C2288B">
        <w:rPr>
          <w:rFonts w:ascii="Arial" w:hAnsi="Arial"/>
          <w:sz w:val="20"/>
          <w:szCs w:val="20"/>
          <w:lang w:val="es-ES"/>
        </w:rPr>
        <w:t>Masulis</w:t>
      </w:r>
      <w:proofErr w:type="spellEnd"/>
      <w:r w:rsidRPr="00C2288B">
        <w:rPr>
          <w:rFonts w:ascii="Arial" w:hAnsi="Arial"/>
          <w:sz w:val="20"/>
          <w:szCs w:val="20"/>
          <w:lang w:val="es-ES"/>
        </w:rPr>
        <w:t xml:space="preserve">, R. (1980). </w:t>
      </w:r>
      <w:proofErr w:type="gramStart"/>
      <w:r w:rsidRPr="00C2288B">
        <w:rPr>
          <w:rFonts w:ascii="Arial" w:hAnsi="Arial"/>
          <w:sz w:val="20"/>
          <w:szCs w:val="20"/>
          <w:lang w:val="en-US"/>
        </w:rPr>
        <w:t>“Optimal capital structure under corporate and personal taxation”.</w:t>
      </w:r>
      <w:proofErr w:type="gramEnd"/>
      <w:r w:rsidRPr="00C2288B">
        <w:rPr>
          <w:rFonts w:ascii="Arial" w:hAnsi="Arial"/>
          <w:sz w:val="20"/>
          <w:szCs w:val="20"/>
          <w:lang w:val="en-US"/>
        </w:rPr>
        <w:t xml:space="preserve"> </w:t>
      </w:r>
      <w:proofErr w:type="spellStart"/>
      <w:r w:rsidRPr="00C2288B">
        <w:rPr>
          <w:rFonts w:ascii="Arial" w:hAnsi="Arial"/>
          <w:i/>
          <w:sz w:val="20"/>
          <w:szCs w:val="20"/>
          <w:lang w:val="es-ES"/>
        </w:rPr>
        <w:t>Journal</w:t>
      </w:r>
      <w:proofErr w:type="spellEnd"/>
      <w:r w:rsidRPr="00C2288B">
        <w:rPr>
          <w:rFonts w:ascii="Arial" w:hAnsi="Arial"/>
          <w:i/>
          <w:sz w:val="20"/>
          <w:szCs w:val="20"/>
          <w:lang w:val="es-ES"/>
        </w:rPr>
        <w:t xml:space="preserve"> of </w:t>
      </w:r>
      <w:proofErr w:type="spellStart"/>
      <w:r w:rsidRPr="00C2288B">
        <w:rPr>
          <w:rFonts w:ascii="Arial" w:hAnsi="Arial"/>
          <w:i/>
          <w:sz w:val="20"/>
          <w:szCs w:val="20"/>
          <w:lang w:val="es-ES"/>
        </w:rPr>
        <w:t>Financial</w:t>
      </w:r>
      <w:proofErr w:type="spellEnd"/>
      <w:r w:rsidRPr="00C2288B">
        <w:rPr>
          <w:rFonts w:ascii="Arial" w:hAnsi="Arial"/>
          <w:i/>
          <w:sz w:val="20"/>
          <w:szCs w:val="20"/>
          <w:lang w:val="es-ES"/>
        </w:rPr>
        <w:t xml:space="preserve"> </w:t>
      </w:r>
      <w:proofErr w:type="spellStart"/>
      <w:r w:rsidRPr="00C2288B">
        <w:rPr>
          <w:rFonts w:ascii="Arial" w:hAnsi="Arial"/>
          <w:i/>
          <w:sz w:val="20"/>
          <w:szCs w:val="20"/>
          <w:lang w:val="es-ES"/>
        </w:rPr>
        <w:t>Economics</w:t>
      </w:r>
      <w:proofErr w:type="spellEnd"/>
      <w:r w:rsidRPr="00C2288B">
        <w:rPr>
          <w:rFonts w:ascii="Arial" w:hAnsi="Arial"/>
          <w:i/>
          <w:sz w:val="20"/>
          <w:szCs w:val="20"/>
          <w:lang w:val="es-ES"/>
        </w:rPr>
        <w:t>,</w:t>
      </w:r>
      <w:r w:rsidRPr="00C2288B">
        <w:rPr>
          <w:rFonts w:ascii="Arial" w:hAnsi="Arial"/>
          <w:sz w:val="20"/>
          <w:szCs w:val="20"/>
          <w:lang w:val="es-ES"/>
        </w:rPr>
        <w:t xml:space="preserve"> 8(1): 3-29.</w:t>
      </w:r>
    </w:p>
    <w:p w:rsidR="00C2288B" w:rsidRDefault="00C2288B" w:rsidP="00C2288B">
      <w:pPr>
        <w:pStyle w:val="Prrafodelista"/>
        <w:spacing w:after="0" w:line="240" w:lineRule="auto"/>
        <w:ind w:left="0"/>
        <w:contextualSpacing w:val="0"/>
        <w:jc w:val="both"/>
        <w:rPr>
          <w:rFonts w:ascii="Arial" w:hAnsi="Arial"/>
          <w:sz w:val="20"/>
          <w:szCs w:val="20"/>
          <w:lang w:val="es-E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s-ES"/>
        </w:rPr>
      </w:pPr>
      <w:r w:rsidRPr="00C2288B">
        <w:rPr>
          <w:rFonts w:ascii="Arial" w:hAnsi="Arial"/>
          <w:sz w:val="20"/>
          <w:szCs w:val="20"/>
          <w:lang w:val="es-ES"/>
        </w:rPr>
        <w:t xml:space="preserve">Encinas, B., Calatayud, E., García, G. y Martínez, A.M. (2010). “Las cooperativas hortofrutícolas frente a la crisis. La necesaria apuesta por la competitividad. Aspectos económico-financieros”. Comunicación presentada a las </w:t>
      </w:r>
      <w:r w:rsidRPr="00C2288B">
        <w:rPr>
          <w:rFonts w:ascii="Arial" w:hAnsi="Arial"/>
          <w:i/>
          <w:sz w:val="20"/>
          <w:szCs w:val="20"/>
          <w:lang w:val="es-ES"/>
        </w:rPr>
        <w:t xml:space="preserve">XIII Jornadas de Investigadores en Economía Social y Cooperativa CIRIEC-España, </w:t>
      </w:r>
      <w:r w:rsidRPr="00C2288B">
        <w:rPr>
          <w:rFonts w:ascii="Arial" w:hAnsi="Arial"/>
          <w:sz w:val="20"/>
          <w:szCs w:val="20"/>
          <w:lang w:val="es-ES"/>
        </w:rPr>
        <w:t>Zaragoza.</w:t>
      </w:r>
    </w:p>
    <w:p w:rsidR="00C2288B" w:rsidRPr="00470A2D" w:rsidRDefault="00C2288B" w:rsidP="00C2288B">
      <w:pPr>
        <w:pStyle w:val="Prrafodelista"/>
        <w:spacing w:after="0" w:line="240" w:lineRule="auto"/>
        <w:ind w:left="0"/>
        <w:contextualSpacing w:val="0"/>
        <w:jc w:val="both"/>
        <w:rPr>
          <w:rFonts w:ascii="Arial" w:hAnsi="Arial"/>
          <w:sz w:val="20"/>
          <w:szCs w:val="20"/>
          <w:lang w:val="es-E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n-US"/>
        </w:rPr>
      </w:pPr>
      <w:proofErr w:type="spellStart"/>
      <w:r w:rsidRPr="00C2288B">
        <w:rPr>
          <w:rFonts w:ascii="Arial" w:hAnsi="Arial"/>
          <w:sz w:val="20"/>
          <w:szCs w:val="20"/>
          <w:lang w:val="en-US"/>
        </w:rPr>
        <w:t>Galdeano</w:t>
      </w:r>
      <w:proofErr w:type="spellEnd"/>
      <w:r w:rsidRPr="00C2288B">
        <w:rPr>
          <w:rFonts w:ascii="Arial" w:hAnsi="Arial"/>
          <w:sz w:val="20"/>
          <w:szCs w:val="20"/>
          <w:lang w:val="en-US"/>
        </w:rPr>
        <w:t xml:space="preserve">, E. (2006). </w:t>
      </w:r>
      <w:proofErr w:type="gramStart"/>
      <w:r w:rsidRPr="00C2288B">
        <w:rPr>
          <w:rFonts w:ascii="Arial" w:hAnsi="Arial"/>
          <w:sz w:val="20"/>
          <w:szCs w:val="20"/>
          <w:lang w:val="en-US"/>
        </w:rPr>
        <w:t>“Productivity and efficiency analysis of horticultural co-operatives”.</w:t>
      </w:r>
      <w:proofErr w:type="gramEnd"/>
      <w:r w:rsidRPr="00C2288B">
        <w:rPr>
          <w:rFonts w:ascii="Arial" w:hAnsi="Arial"/>
          <w:sz w:val="20"/>
          <w:szCs w:val="20"/>
          <w:lang w:val="en-US"/>
        </w:rPr>
        <w:t xml:space="preserve"> </w:t>
      </w:r>
      <w:r w:rsidRPr="00C2288B">
        <w:rPr>
          <w:rFonts w:ascii="Arial" w:hAnsi="Arial"/>
          <w:i/>
          <w:sz w:val="20"/>
          <w:szCs w:val="20"/>
          <w:lang w:val="en-US"/>
        </w:rPr>
        <w:t>Spanish Journal of Agricultural Research</w:t>
      </w:r>
      <w:r w:rsidRPr="00C2288B">
        <w:rPr>
          <w:rFonts w:ascii="Arial" w:hAnsi="Arial"/>
          <w:sz w:val="20"/>
          <w:szCs w:val="20"/>
          <w:lang w:val="en-US"/>
        </w:rPr>
        <w:t>, 4(3): 191-201.</w:t>
      </w:r>
    </w:p>
    <w:p w:rsidR="00C2288B" w:rsidRPr="00470A2D" w:rsidRDefault="00C2288B" w:rsidP="00C2288B">
      <w:pPr>
        <w:pStyle w:val="Prrafodelista"/>
        <w:spacing w:after="0" w:line="240" w:lineRule="auto"/>
        <w:ind w:left="0"/>
        <w:contextualSpacing w:val="0"/>
        <w:jc w:val="both"/>
        <w:rPr>
          <w:rFonts w:ascii="Arial" w:hAnsi="Arial"/>
          <w:sz w:val="20"/>
          <w:szCs w:val="20"/>
          <w:lang w:val="en-U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s-ES"/>
        </w:rPr>
      </w:pPr>
      <w:r w:rsidRPr="001F329C">
        <w:rPr>
          <w:rFonts w:ascii="Arial" w:hAnsi="Arial"/>
          <w:sz w:val="20"/>
          <w:szCs w:val="20"/>
          <w:lang w:val="es-ES"/>
        </w:rPr>
        <w:t xml:space="preserve">Gómez-Limón, J.A., </w:t>
      </w:r>
      <w:proofErr w:type="spellStart"/>
      <w:r w:rsidRPr="001F329C">
        <w:rPr>
          <w:rFonts w:ascii="Arial" w:hAnsi="Arial"/>
          <w:sz w:val="20"/>
          <w:szCs w:val="20"/>
          <w:lang w:val="es-ES"/>
        </w:rPr>
        <w:t>Casquet</w:t>
      </w:r>
      <w:proofErr w:type="spellEnd"/>
      <w:r w:rsidRPr="001F329C">
        <w:rPr>
          <w:rFonts w:ascii="Arial" w:hAnsi="Arial"/>
          <w:sz w:val="20"/>
          <w:szCs w:val="20"/>
          <w:lang w:val="es-ES"/>
        </w:rPr>
        <w:t xml:space="preserve">, E. y </w:t>
      </w:r>
      <w:proofErr w:type="spellStart"/>
      <w:r w:rsidRPr="001F329C">
        <w:rPr>
          <w:rFonts w:ascii="Arial" w:hAnsi="Arial"/>
          <w:sz w:val="20"/>
          <w:szCs w:val="20"/>
          <w:lang w:val="es-ES"/>
        </w:rPr>
        <w:t>Atance</w:t>
      </w:r>
      <w:proofErr w:type="spellEnd"/>
      <w:r w:rsidRPr="001F329C">
        <w:rPr>
          <w:rFonts w:ascii="Arial" w:hAnsi="Arial"/>
          <w:sz w:val="20"/>
          <w:szCs w:val="20"/>
          <w:lang w:val="es-ES"/>
        </w:rPr>
        <w:t xml:space="preserve">, I. (2003). </w:t>
      </w:r>
      <w:r w:rsidRPr="00C2288B">
        <w:rPr>
          <w:rFonts w:ascii="Arial" w:hAnsi="Arial"/>
          <w:sz w:val="20"/>
          <w:szCs w:val="20"/>
          <w:lang w:val="es-ES"/>
        </w:rPr>
        <w:t xml:space="preserve">“Análisis económico-financiero de las cooperativas agrarias en Castilla y León”. </w:t>
      </w:r>
      <w:r w:rsidRPr="00C2288B">
        <w:rPr>
          <w:rFonts w:ascii="Arial" w:hAnsi="Arial"/>
          <w:i/>
          <w:sz w:val="20"/>
          <w:szCs w:val="20"/>
          <w:lang w:val="es-ES"/>
        </w:rPr>
        <w:t xml:space="preserve">CIRIEC-Revista de la economía pública, social y cooperativa, </w:t>
      </w:r>
      <w:r w:rsidRPr="00C2288B">
        <w:rPr>
          <w:rFonts w:ascii="Arial" w:hAnsi="Arial"/>
          <w:sz w:val="20"/>
          <w:szCs w:val="20"/>
          <w:lang w:val="es-ES"/>
        </w:rPr>
        <w:t>46: 151-189.</w:t>
      </w:r>
    </w:p>
    <w:p w:rsidR="00C2288B" w:rsidRDefault="00C2288B" w:rsidP="00C2288B">
      <w:pPr>
        <w:pStyle w:val="Prrafodelista"/>
        <w:spacing w:after="0" w:line="240" w:lineRule="auto"/>
        <w:ind w:left="0"/>
        <w:contextualSpacing w:val="0"/>
        <w:jc w:val="both"/>
        <w:rPr>
          <w:rFonts w:ascii="Arial" w:hAnsi="Arial"/>
          <w:sz w:val="20"/>
          <w:szCs w:val="20"/>
          <w:lang w:val="en-U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n-US"/>
        </w:rPr>
      </w:pPr>
      <w:proofErr w:type="gramStart"/>
      <w:r w:rsidRPr="00C2288B">
        <w:rPr>
          <w:rFonts w:ascii="Arial" w:hAnsi="Arial"/>
          <w:sz w:val="20"/>
          <w:szCs w:val="20"/>
          <w:lang w:val="en-US"/>
        </w:rPr>
        <w:t xml:space="preserve">Harris, M. y </w:t>
      </w:r>
      <w:proofErr w:type="spellStart"/>
      <w:r w:rsidRPr="00C2288B">
        <w:rPr>
          <w:rFonts w:ascii="Arial" w:hAnsi="Arial"/>
          <w:sz w:val="20"/>
          <w:szCs w:val="20"/>
          <w:lang w:val="en-US"/>
        </w:rPr>
        <w:t>Raviv</w:t>
      </w:r>
      <w:proofErr w:type="spellEnd"/>
      <w:r w:rsidRPr="00C2288B">
        <w:rPr>
          <w:rFonts w:ascii="Arial" w:hAnsi="Arial"/>
          <w:sz w:val="20"/>
          <w:szCs w:val="20"/>
          <w:lang w:val="en-US"/>
        </w:rPr>
        <w:t>, A. (1991).</w:t>
      </w:r>
      <w:proofErr w:type="gramEnd"/>
      <w:r w:rsidRPr="00C2288B">
        <w:rPr>
          <w:rFonts w:ascii="Arial" w:hAnsi="Arial"/>
          <w:sz w:val="20"/>
          <w:szCs w:val="20"/>
          <w:lang w:val="en-US"/>
        </w:rPr>
        <w:t xml:space="preserve"> </w:t>
      </w:r>
      <w:proofErr w:type="gramStart"/>
      <w:r w:rsidRPr="00C2288B">
        <w:rPr>
          <w:rFonts w:ascii="Arial" w:hAnsi="Arial"/>
          <w:sz w:val="20"/>
          <w:szCs w:val="20"/>
          <w:lang w:val="en-US"/>
        </w:rPr>
        <w:t>“The Theory of Capital Structure”.</w:t>
      </w:r>
      <w:proofErr w:type="gramEnd"/>
      <w:r w:rsidRPr="00C2288B">
        <w:rPr>
          <w:rFonts w:ascii="Arial" w:hAnsi="Arial"/>
          <w:sz w:val="20"/>
          <w:szCs w:val="20"/>
          <w:lang w:val="en-US"/>
        </w:rPr>
        <w:t xml:space="preserve"> </w:t>
      </w:r>
      <w:r w:rsidRPr="00C2288B">
        <w:rPr>
          <w:rFonts w:ascii="Arial" w:hAnsi="Arial"/>
          <w:i/>
          <w:sz w:val="20"/>
          <w:szCs w:val="20"/>
          <w:lang w:val="en-US"/>
        </w:rPr>
        <w:t>Journal of Finance,</w:t>
      </w:r>
      <w:r w:rsidRPr="00C2288B">
        <w:rPr>
          <w:rFonts w:ascii="Arial" w:hAnsi="Arial"/>
          <w:sz w:val="20"/>
          <w:szCs w:val="20"/>
          <w:lang w:val="en-US"/>
        </w:rPr>
        <w:t xml:space="preserve"> 46(1): 297-355.</w:t>
      </w:r>
    </w:p>
    <w:p w:rsidR="00C2288B" w:rsidRDefault="00C2288B" w:rsidP="00C2288B">
      <w:pPr>
        <w:pStyle w:val="Prrafodelista"/>
        <w:spacing w:after="0" w:line="240" w:lineRule="auto"/>
        <w:ind w:left="0"/>
        <w:contextualSpacing w:val="0"/>
        <w:jc w:val="both"/>
        <w:rPr>
          <w:rFonts w:ascii="Arial" w:hAnsi="Arial"/>
          <w:sz w:val="20"/>
          <w:szCs w:val="20"/>
          <w:lang w:val="es-E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n-US"/>
        </w:rPr>
      </w:pPr>
      <w:proofErr w:type="spellStart"/>
      <w:r w:rsidRPr="00C2288B">
        <w:rPr>
          <w:rFonts w:ascii="Arial" w:hAnsi="Arial"/>
          <w:sz w:val="20"/>
          <w:szCs w:val="20"/>
          <w:lang w:val="es-ES"/>
        </w:rPr>
        <w:t>Hol</w:t>
      </w:r>
      <w:proofErr w:type="spellEnd"/>
      <w:r w:rsidRPr="00C2288B">
        <w:rPr>
          <w:rFonts w:ascii="Arial" w:hAnsi="Arial"/>
          <w:sz w:val="20"/>
          <w:szCs w:val="20"/>
          <w:lang w:val="es-ES"/>
        </w:rPr>
        <w:t xml:space="preserve">, S. y Van der </w:t>
      </w:r>
      <w:proofErr w:type="spellStart"/>
      <w:r w:rsidRPr="00C2288B">
        <w:rPr>
          <w:rFonts w:ascii="Arial" w:hAnsi="Arial"/>
          <w:sz w:val="20"/>
          <w:szCs w:val="20"/>
          <w:lang w:val="es-ES"/>
        </w:rPr>
        <w:t>Wijst</w:t>
      </w:r>
      <w:proofErr w:type="spellEnd"/>
      <w:r w:rsidRPr="00C2288B">
        <w:rPr>
          <w:rFonts w:ascii="Arial" w:hAnsi="Arial"/>
          <w:sz w:val="20"/>
          <w:szCs w:val="20"/>
          <w:lang w:val="es-ES"/>
        </w:rPr>
        <w:t xml:space="preserve">, N. (2008). </w:t>
      </w:r>
      <w:proofErr w:type="gramStart"/>
      <w:r w:rsidRPr="00C2288B">
        <w:rPr>
          <w:rFonts w:ascii="Arial" w:hAnsi="Arial"/>
          <w:sz w:val="20"/>
          <w:szCs w:val="20"/>
          <w:lang w:val="en-US"/>
        </w:rPr>
        <w:t xml:space="preserve">“The financial structure of </w:t>
      </w:r>
      <w:proofErr w:type="spellStart"/>
      <w:r w:rsidRPr="00C2288B">
        <w:rPr>
          <w:rFonts w:ascii="Arial" w:hAnsi="Arial"/>
          <w:sz w:val="20"/>
          <w:szCs w:val="20"/>
          <w:lang w:val="en-US"/>
        </w:rPr>
        <w:t>nonlisted</w:t>
      </w:r>
      <w:proofErr w:type="spellEnd"/>
      <w:r w:rsidRPr="00C2288B">
        <w:rPr>
          <w:rFonts w:ascii="Arial" w:hAnsi="Arial"/>
          <w:sz w:val="20"/>
          <w:szCs w:val="20"/>
          <w:lang w:val="en-US"/>
        </w:rPr>
        <w:t xml:space="preserve"> firms”.</w:t>
      </w:r>
      <w:proofErr w:type="gramEnd"/>
      <w:r w:rsidRPr="00C2288B">
        <w:rPr>
          <w:rFonts w:ascii="Arial" w:hAnsi="Arial"/>
          <w:sz w:val="20"/>
          <w:szCs w:val="20"/>
          <w:lang w:val="en-US"/>
        </w:rPr>
        <w:t xml:space="preserve"> </w:t>
      </w:r>
      <w:r w:rsidRPr="00C2288B">
        <w:rPr>
          <w:rFonts w:ascii="Arial" w:hAnsi="Arial"/>
          <w:i/>
          <w:sz w:val="20"/>
          <w:szCs w:val="20"/>
          <w:lang w:val="en-US"/>
        </w:rPr>
        <w:t>Applied Financial Economics,</w:t>
      </w:r>
      <w:r w:rsidRPr="00C2288B">
        <w:rPr>
          <w:rFonts w:ascii="Arial" w:hAnsi="Arial"/>
          <w:sz w:val="20"/>
          <w:szCs w:val="20"/>
          <w:lang w:val="en-US"/>
        </w:rPr>
        <w:t xml:space="preserve"> 18(7): 559-568. DOI: 10.1080/09603100601057839</w:t>
      </w:r>
    </w:p>
    <w:p w:rsidR="00C2288B" w:rsidRDefault="00C2288B" w:rsidP="00C2288B">
      <w:pPr>
        <w:pStyle w:val="Prrafodelista"/>
        <w:spacing w:after="0" w:line="240" w:lineRule="auto"/>
        <w:ind w:left="0"/>
        <w:contextualSpacing w:val="0"/>
        <w:jc w:val="both"/>
        <w:rPr>
          <w:rFonts w:ascii="Arial" w:hAnsi="Arial"/>
          <w:sz w:val="20"/>
          <w:szCs w:val="20"/>
          <w:lang w:val="en-U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n-US"/>
        </w:rPr>
      </w:pPr>
      <w:r w:rsidRPr="00C2288B">
        <w:rPr>
          <w:rFonts w:ascii="Arial" w:hAnsi="Arial"/>
          <w:sz w:val="20"/>
          <w:szCs w:val="20"/>
          <w:lang w:val="en-US"/>
        </w:rPr>
        <w:t xml:space="preserve">Jensen, M.C. y </w:t>
      </w:r>
      <w:proofErr w:type="spellStart"/>
      <w:r w:rsidRPr="00C2288B">
        <w:rPr>
          <w:rFonts w:ascii="Arial" w:hAnsi="Arial"/>
          <w:sz w:val="20"/>
          <w:szCs w:val="20"/>
          <w:lang w:val="en-US"/>
        </w:rPr>
        <w:t>Meckling</w:t>
      </w:r>
      <w:proofErr w:type="spellEnd"/>
      <w:r w:rsidRPr="00C2288B">
        <w:rPr>
          <w:rFonts w:ascii="Arial" w:hAnsi="Arial"/>
          <w:sz w:val="20"/>
          <w:szCs w:val="20"/>
          <w:lang w:val="en-US"/>
        </w:rPr>
        <w:t xml:space="preserve">, W. (1976). “Theory of the firm: managerial behavior, agency costs, and capital structure”. </w:t>
      </w:r>
      <w:r w:rsidRPr="00C2288B">
        <w:rPr>
          <w:rFonts w:ascii="Arial" w:hAnsi="Arial"/>
          <w:i/>
          <w:sz w:val="20"/>
          <w:szCs w:val="20"/>
          <w:lang w:val="en-US"/>
        </w:rPr>
        <w:t>Journal of Financial Economics</w:t>
      </w:r>
      <w:r w:rsidRPr="00C2288B">
        <w:rPr>
          <w:rFonts w:ascii="Arial" w:hAnsi="Arial"/>
          <w:sz w:val="20"/>
          <w:szCs w:val="20"/>
          <w:lang w:val="en-US"/>
        </w:rPr>
        <w:t>, 3(4): 305-360.</w:t>
      </w:r>
    </w:p>
    <w:p w:rsidR="00C2288B" w:rsidRDefault="00C2288B" w:rsidP="00C2288B">
      <w:pPr>
        <w:pStyle w:val="Prrafodelista"/>
        <w:spacing w:after="0" w:line="240" w:lineRule="auto"/>
        <w:ind w:left="0"/>
        <w:contextualSpacing w:val="0"/>
        <w:jc w:val="both"/>
        <w:rPr>
          <w:rFonts w:ascii="Arial" w:hAnsi="Arial"/>
          <w:sz w:val="20"/>
          <w:szCs w:val="20"/>
          <w:lang w:val="en-U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s-ES"/>
        </w:rPr>
      </w:pPr>
      <w:r w:rsidRPr="00C2288B">
        <w:rPr>
          <w:rFonts w:ascii="Arial" w:hAnsi="Arial"/>
          <w:sz w:val="20"/>
          <w:szCs w:val="20"/>
          <w:lang w:val="en-US"/>
        </w:rPr>
        <w:t xml:space="preserve">Jensen, M.C. (1986). “Agency costs of free cash flow, corporate finance and takeovers”. </w:t>
      </w:r>
      <w:r w:rsidRPr="00C2288B">
        <w:rPr>
          <w:rFonts w:ascii="Arial" w:hAnsi="Arial"/>
          <w:i/>
          <w:sz w:val="20"/>
          <w:szCs w:val="20"/>
          <w:lang w:val="es-ES"/>
        </w:rPr>
        <w:t xml:space="preserve">American </w:t>
      </w:r>
      <w:proofErr w:type="spellStart"/>
      <w:r w:rsidRPr="00C2288B">
        <w:rPr>
          <w:rFonts w:ascii="Arial" w:hAnsi="Arial"/>
          <w:i/>
          <w:sz w:val="20"/>
          <w:szCs w:val="20"/>
          <w:lang w:val="es-ES"/>
        </w:rPr>
        <w:t>Economic</w:t>
      </w:r>
      <w:proofErr w:type="spellEnd"/>
      <w:r w:rsidRPr="00C2288B">
        <w:rPr>
          <w:rFonts w:ascii="Arial" w:hAnsi="Arial"/>
          <w:i/>
          <w:sz w:val="20"/>
          <w:szCs w:val="20"/>
          <w:lang w:val="es-ES"/>
        </w:rPr>
        <w:t xml:space="preserve"> </w:t>
      </w:r>
      <w:proofErr w:type="spellStart"/>
      <w:r w:rsidRPr="00C2288B">
        <w:rPr>
          <w:rFonts w:ascii="Arial" w:hAnsi="Arial"/>
          <w:i/>
          <w:sz w:val="20"/>
          <w:szCs w:val="20"/>
          <w:lang w:val="es-ES"/>
        </w:rPr>
        <w:t>Review</w:t>
      </w:r>
      <w:proofErr w:type="spellEnd"/>
      <w:r w:rsidRPr="00C2288B">
        <w:rPr>
          <w:rFonts w:ascii="Arial" w:hAnsi="Arial"/>
          <w:i/>
          <w:sz w:val="20"/>
          <w:szCs w:val="20"/>
          <w:lang w:val="es-ES"/>
        </w:rPr>
        <w:t>,</w:t>
      </w:r>
      <w:r w:rsidRPr="00C2288B">
        <w:rPr>
          <w:rFonts w:ascii="Arial" w:hAnsi="Arial"/>
          <w:sz w:val="20"/>
          <w:szCs w:val="20"/>
          <w:lang w:val="es-ES"/>
        </w:rPr>
        <w:t xml:space="preserve"> 76(2): 323-329.</w:t>
      </w:r>
    </w:p>
    <w:p w:rsidR="00C2288B" w:rsidRDefault="00C2288B" w:rsidP="00C2288B">
      <w:pPr>
        <w:pStyle w:val="Prrafodelista"/>
        <w:spacing w:after="0" w:line="240" w:lineRule="auto"/>
        <w:ind w:left="0"/>
        <w:contextualSpacing w:val="0"/>
        <w:jc w:val="both"/>
        <w:rPr>
          <w:rFonts w:ascii="Arial" w:hAnsi="Arial"/>
          <w:sz w:val="20"/>
          <w:szCs w:val="20"/>
          <w:lang w:val="es-E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s-ES"/>
        </w:rPr>
      </w:pPr>
      <w:r w:rsidRPr="00C2288B">
        <w:rPr>
          <w:rFonts w:ascii="Arial" w:hAnsi="Arial"/>
          <w:sz w:val="20"/>
          <w:szCs w:val="20"/>
          <w:lang w:val="es-ES"/>
        </w:rPr>
        <w:t xml:space="preserve">Jiménez, F. y </w:t>
      </w:r>
      <w:proofErr w:type="spellStart"/>
      <w:r w:rsidRPr="00C2288B">
        <w:rPr>
          <w:rFonts w:ascii="Arial" w:hAnsi="Arial"/>
          <w:sz w:val="20"/>
          <w:szCs w:val="20"/>
          <w:lang w:val="es-ES"/>
        </w:rPr>
        <w:t>Palacín</w:t>
      </w:r>
      <w:proofErr w:type="spellEnd"/>
      <w:r w:rsidRPr="00C2288B">
        <w:rPr>
          <w:rFonts w:ascii="Arial" w:hAnsi="Arial"/>
          <w:sz w:val="20"/>
          <w:szCs w:val="20"/>
          <w:lang w:val="es-ES"/>
        </w:rPr>
        <w:t xml:space="preserve">, M.J. (2007). “Determinantes de la estructura financiera de la empresa”. </w:t>
      </w:r>
      <w:r w:rsidRPr="00C2288B">
        <w:rPr>
          <w:rFonts w:ascii="Arial" w:hAnsi="Arial"/>
          <w:i/>
          <w:sz w:val="20"/>
          <w:szCs w:val="20"/>
          <w:lang w:val="es-ES"/>
        </w:rPr>
        <w:t>Revista Europea de Dirección y Economía de la Empresa,</w:t>
      </w:r>
      <w:r w:rsidRPr="00C2288B">
        <w:rPr>
          <w:rFonts w:ascii="Arial" w:hAnsi="Arial"/>
          <w:sz w:val="20"/>
          <w:szCs w:val="20"/>
          <w:lang w:val="es-ES"/>
        </w:rPr>
        <w:t xml:space="preserve"> 16(4): 9-24.</w:t>
      </w:r>
    </w:p>
    <w:p w:rsidR="00C2288B" w:rsidRDefault="00C2288B" w:rsidP="00C2288B">
      <w:pPr>
        <w:pStyle w:val="Prrafodelista"/>
        <w:spacing w:after="0" w:line="240" w:lineRule="auto"/>
        <w:ind w:left="0"/>
        <w:contextualSpacing w:val="0"/>
        <w:jc w:val="both"/>
        <w:rPr>
          <w:rFonts w:ascii="Arial" w:hAnsi="Arial"/>
          <w:sz w:val="20"/>
          <w:szCs w:val="20"/>
          <w:lang w:val="es-ES"/>
        </w:rPr>
      </w:pPr>
    </w:p>
    <w:p w:rsidR="00D1101E" w:rsidRPr="00C2288B" w:rsidRDefault="00D1101E" w:rsidP="00C2288B">
      <w:pPr>
        <w:pStyle w:val="Prrafodelista"/>
        <w:spacing w:after="0" w:line="240" w:lineRule="auto"/>
        <w:ind w:left="0"/>
        <w:contextualSpacing w:val="0"/>
        <w:jc w:val="both"/>
        <w:rPr>
          <w:rFonts w:ascii="Arial" w:hAnsi="Arial"/>
          <w:sz w:val="20"/>
          <w:szCs w:val="20"/>
          <w:lang w:val="es-ES"/>
        </w:rPr>
      </w:pPr>
      <w:r w:rsidRPr="00C2288B">
        <w:rPr>
          <w:rFonts w:ascii="Arial" w:hAnsi="Arial"/>
          <w:sz w:val="20"/>
          <w:szCs w:val="20"/>
          <w:lang w:val="es-ES"/>
        </w:rPr>
        <w:t xml:space="preserve">Lajara-Camilleri, N., Mateos-Ronco, A. (2012). “Estructura financiera y logro empresarial en cooperativas agrarias: una aproximación empírica”. </w:t>
      </w:r>
      <w:r w:rsidRPr="00C2288B">
        <w:rPr>
          <w:rFonts w:ascii="Arial" w:hAnsi="Arial"/>
          <w:i/>
          <w:sz w:val="20"/>
          <w:szCs w:val="20"/>
          <w:lang w:val="es-ES"/>
        </w:rPr>
        <w:t>Economía Agraria y Recursos Naturales,</w:t>
      </w:r>
      <w:r w:rsidRPr="00C2288B">
        <w:rPr>
          <w:rFonts w:ascii="Arial" w:hAnsi="Arial"/>
          <w:sz w:val="20"/>
          <w:szCs w:val="20"/>
          <w:lang w:val="es-ES"/>
        </w:rPr>
        <w:t xml:space="preserve"> 12 (2): 77-101.</w:t>
      </w:r>
    </w:p>
    <w:p w:rsidR="00C2288B" w:rsidRDefault="00C2288B" w:rsidP="00C2288B">
      <w:pPr>
        <w:pStyle w:val="Prrafodelista"/>
        <w:spacing w:after="0" w:line="240" w:lineRule="auto"/>
        <w:ind w:left="0"/>
        <w:contextualSpacing w:val="0"/>
        <w:jc w:val="both"/>
        <w:rPr>
          <w:rFonts w:ascii="Arial" w:hAnsi="Arial"/>
          <w:sz w:val="20"/>
          <w:szCs w:val="20"/>
          <w:lang w:val="es-ES"/>
        </w:rPr>
      </w:pPr>
    </w:p>
    <w:p w:rsidR="00770542" w:rsidRPr="00470A2D" w:rsidRDefault="00770542" w:rsidP="00C2288B">
      <w:pPr>
        <w:pStyle w:val="Prrafodelista"/>
        <w:spacing w:after="0" w:line="240" w:lineRule="auto"/>
        <w:ind w:left="0"/>
        <w:contextualSpacing w:val="0"/>
        <w:jc w:val="both"/>
        <w:rPr>
          <w:rFonts w:ascii="Arial" w:hAnsi="Arial"/>
          <w:sz w:val="20"/>
          <w:szCs w:val="20"/>
          <w:lang w:val="es-ES"/>
        </w:rPr>
      </w:pPr>
      <w:r w:rsidRPr="00CB27A4">
        <w:rPr>
          <w:rFonts w:ascii="Arial" w:hAnsi="Arial"/>
          <w:sz w:val="20"/>
          <w:szCs w:val="20"/>
          <w:lang w:val="en-US"/>
        </w:rPr>
        <w:t xml:space="preserve">Levine, R. (2005). </w:t>
      </w:r>
      <w:r w:rsidRPr="00C2288B">
        <w:rPr>
          <w:rFonts w:ascii="Arial" w:hAnsi="Arial"/>
          <w:sz w:val="20"/>
          <w:szCs w:val="20"/>
          <w:lang w:val="en-US"/>
        </w:rPr>
        <w:t xml:space="preserve">“Finance and growth: theory and evidence”. En </w:t>
      </w:r>
      <w:proofErr w:type="spellStart"/>
      <w:r w:rsidRPr="00C2288B">
        <w:rPr>
          <w:rFonts w:ascii="Arial" w:hAnsi="Arial"/>
          <w:sz w:val="20"/>
          <w:szCs w:val="20"/>
          <w:lang w:val="en-US"/>
        </w:rPr>
        <w:t>Aghion</w:t>
      </w:r>
      <w:proofErr w:type="spellEnd"/>
      <w:r w:rsidRPr="00C2288B">
        <w:rPr>
          <w:rFonts w:ascii="Arial" w:hAnsi="Arial"/>
          <w:sz w:val="20"/>
          <w:szCs w:val="20"/>
          <w:lang w:val="en-US"/>
        </w:rPr>
        <w:t xml:space="preserve">, P. y </w:t>
      </w:r>
      <w:proofErr w:type="spellStart"/>
      <w:r w:rsidRPr="00C2288B">
        <w:rPr>
          <w:rFonts w:ascii="Arial" w:hAnsi="Arial"/>
          <w:sz w:val="20"/>
          <w:szCs w:val="20"/>
          <w:lang w:val="en-US"/>
        </w:rPr>
        <w:t>Durlauf</w:t>
      </w:r>
      <w:proofErr w:type="spellEnd"/>
      <w:r w:rsidRPr="00C2288B">
        <w:rPr>
          <w:rFonts w:ascii="Arial" w:hAnsi="Arial"/>
          <w:sz w:val="20"/>
          <w:szCs w:val="20"/>
          <w:lang w:val="en-US"/>
        </w:rPr>
        <w:t xml:space="preserve">, S. (Eds.): </w:t>
      </w:r>
      <w:r w:rsidRPr="00C2288B">
        <w:rPr>
          <w:rFonts w:ascii="Arial" w:hAnsi="Arial"/>
          <w:i/>
          <w:sz w:val="20"/>
          <w:szCs w:val="20"/>
          <w:lang w:val="en-US"/>
        </w:rPr>
        <w:t>The Handbook of Economic Growth</w:t>
      </w:r>
      <w:r w:rsidRPr="00C2288B">
        <w:rPr>
          <w:rFonts w:ascii="Arial" w:hAnsi="Arial"/>
          <w:sz w:val="20"/>
          <w:szCs w:val="20"/>
          <w:lang w:val="en-US"/>
        </w:rPr>
        <w:t xml:space="preserve">, Amsterdam, </w:t>
      </w:r>
      <w:proofErr w:type="gramStart"/>
      <w:r w:rsidRPr="00C2288B">
        <w:rPr>
          <w:rFonts w:ascii="Arial" w:hAnsi="Arial"/>
          <w:sz w:val="20"/>
          <w:szCs w:val="20"/>
          <w:lang w:val="en-US"/>
        </w:rPr>
        <w:t>The</w:t>
      </w:r>
      <w:proofErr w:type="gramEnd"/>
      <w:r w:rsidRPr="00C2288B">
        <w:rPr>
          <w:rFonts w:ascii="Arial" w:hAnsi="Arial"/>
          <w:sz w:val="20"/>
          <w:szCs w:val="20"/>
          <w:lang w:val="en-US"/>
        </w:rPr>
        <w:t xml:space="preserve"> Netherlands. </w:t>
      </w:r>
      <w:r w:rsidRPr="00470A2D">
        <w:rPr>
          <w:rFonts w:ascii="Arial" w:hAnsi="Arial"/>
          <w:sz w:val="20"/>
          <w:szCs w:val="20"/>
          <w:lang w:val="es-ES"/>
        </w:rPr>
        <w:t>865–934.</w:t>
      </w:r>
    </w:p>
    <w:p w:rsidR="00C2288B" w:rsidRDefault="00C2288B" w:rsidP="00C2288B">
      <w:pPr>
        <w:pStyle w:val="Prrafodelista"/>
        <w:spacing w:after="0" w:line="240" w:lineRule="auto"/>
        <w:ind w:left="0"/>
        <w:contextualSpacing w:val="0"/>
        <w:jc w:val="both"/>
        <w:rPr>
          <w:rFonts w:ascii="Arial" w:hAnsi="Arial"/>
          <w:sz w:val="20"/>
          <w:szCs w:val="20"/>
          <w:lang w:val="es-E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s-ES"/>
        </w:rPr>
      </w:pPr>
      <w:r w:rsidRPr="00C2288B">
        <w:rPr>
          <w:rFonts w:ascii="Arial" w:hAnsi="Arial"/>
          <w:sz w:val="20"/>
          <w:szCs w:val="20"/>
          <w:lang w:val="es-ES"/>
        </w:rPr>
        <w:t>Mateos</w:t>
      </w:r>
      <w:r w:rsidR="00C2288B">
        <w:rPr>
          <w:rFonts w:ascii="Arial" w:hAnsi="Arial"/>
          <w:sz w:val="20"/>
          <w:szCs w:val="20"/>
          <w:lang w:val="es-ES"/>
        </w:rPr>
        <w:t>-Ronco</w:t>
      </w:r>
      <w:r w:rsidRPr="00C2288B">
        <w:rPr>
          <w:rFonts w:ascii="Arial" w:hAnsi="Arial"/>
          <w:sz w:val="20"/>
          <w:szCs w:val="20"/>
          <w:lang w:val="es-ES"/>
        </w:rPr>
        <w:t>, A. y Lajara</w:t>
      </w:r>
      <w:r w:rsidR="00C2288B">
        <w:rPr>
          <w:rFonts w:ascii="Arial" w:hAnsi="Arial"/>
          <w:sz w:val="20"/>
          <w:szCs w:val="20"/>
          <w:lang w:val="es-ES"/>
        </w:rPr>
        <w:t>-Camilleri</w:t>
      </w:r>
      <w:r w:rsidRPr="00C2288B">
        <w:rPr>
          <w:rFonts w:ascii="Arial" w:hAnsi="Arial"/>
          <w:sz w:val="20"/>
          <w:szCs w:val="20"/>
          <w:lang w:val="es-ES"/>
        </w:rPr>
        <w:t xml:space="preserve">, N. (2011). “Análisis empírico de la estructura financiera y la eficiencia en cooperativas agrarias”. Comunicación presentada al </w:t>
      </w:r>
      <w:r w:rsidRPr="00C2288B">
        <w:rPr>
          <w:rFonts w:ascii="Arial" w:hAnsi="Arial"/>
          <w:i/>
          <w:sz w:val="20"/>
          <w:szCs w:val="20"/>
          <w:lang w:val="es-ES"/>
        </w:rPr>
        <w:t>VIII Congreso de Economía Agraria</w:t>
      </w:r>
      <w:r w:rsidRPr="00C2288B">
        <w:rPr>
          <w:rFonts w:ascii="Arial" w:hAnsi="Arial"/>
          <w:sz w:val="20"/>
          <w:szCs w:val="20"/>
          <w:lang w:val="es-ES"/>
        </w:rPr>
        <w:t>, Madrid.</w:t>
      </w:r>
    </w:p>
    <w:p w:rsidR="00C2288B" w:rsidRDefault="00C2288B" w:rsidP="00C2288B">
      <w:pPr>
        <w:pStyle w:val="Prrafodelista"/>
        <w:spacing w:after="0" w:line="240" w:lineRule="auto"/>
        <w:ind w:left="0"/>
        <w:contextualSpacing w:val="0"/>
        <w:jc w:val="both"/>
        <w:rPr>
          <w:rFonts w:ascii="Arial" w:hAnsi="Arial"/>
          <w:sz w:val="20"/>
          <w:szCs w:val="20"/>
          <w:lang w:val="es-E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s-ES"/>
        </w:rPr>
      </w:pPr>
      <w:proofErr w:type="spellStart"/>
      <w:r w:rsidRPr="00C2288B">
        <w:rPr>
          <w:rFonts w:ascii="Arial" w:hAnsi="Arial"/>
          <w:sz w:val="20"/>
          <w:szCs w:val="20"/>
          <w:lang w:val="es-ES"/>
        </w:rPr>
        <w:t>Modigliani</w:t>
      </w:r>
      <w:proofErr w:type="spellEnd"/>
      <w:r w:rsidRPr="00C2288B">
        <w:rPr>
          <w:rFonts w:ascii="Arial" w:hAnsi="Arial"/>
          <w:sz w:val="20"/>
          <w:szCs w:val="20"/>
          <w:lang w:val="es-ES"/>
        </w:rPr>
        <w:t xml:space="preserve">, F. y Miller, M. (1958). </w:t>
      </w:r>
      <w:proofErr w:type="gramStart"/>
      <w:r w:rsidRPr="00C2288B">
        <w:rPr>
          <w:rFonts w:ascii="Arial" w:hAnsi="Arial"/>
          <w:sz w:val="20"/>
          <w:szCs w:val="20"/>
          <w:lang w:val="en-US"/>
        </w:rPr>
        <w:t>“The cost of capital, corporate finance and the Theory of Investment”.</w:t>
      </w:r>
      <w:proofErr w:type="gramEnd"/>
      <w:r w:rsidRPr="00C2288B">
        <w:rPr>
          <w:rFonts w:ascii="Arial" w:hAnsi="Arial"/>
          <w:sz w:val="20"/>
          <w:szCs w:val="20"/>
          <w:lang w:val="en-US"/>
        </w:rPr>
        <w:t xml:space="preserve"> </w:t>
      </w:r>
      <w:r w:rsidRPr="00C2288B">
        <w:rPr>
          <w:rFonts w:ascii="Arial" w:hAnsi="Arial"/>
          <w:i/>
          <w:sz w:val="20"/>
          <w:szCs w:val="20"/>
          <w:lang w:val="es-ES"/>
        </w:rPr>
        <w:t xml:space="preserve">American </w:t>
      </w:r>
      <w:proofErr w:type="spellStart"/>
      <w:r w:rsidRPr="00C2288B">
        <w:rPr>
          <w:rFonts w:ascii="Arial" w:hAnsi="Arial"/>
          <w:i/>
          <w:sz w:val="20"/>
          <w:szCs w:val="20"/>
          <w:lang w:val="es-ES"/>
        </w:rPr>
        <w:t>Economic</w:t>
      </w:r>
      <w:proofErr w:type="spellEnd"/>
      <w:r w:rsidRPr="00C2288B">
        <w:rPr>
          <w:rFonts w:ascii="Arial" w:hAnsi="Arial"/>
          <w:i/>
          <w:sz w:val="20"/>
          <w:szCs w:val="20"/>
          <w:lang w:val="es-ES"/>
        </w:rPr>
        <w:t xml:space="preserve"> </w:t>
      </w:r>
      <w:proofErr w:type="spellStart"/>
      <w:r w:rsidRPr="00C2288B">
        <w:rPr>
          <w:rFonts w:ascii="Arial" w:hAnsi="Arial"/>
          <w:i/>
          <w:sz w:val="20"/>
          <w:szCs w:val="20"/>
          <w:lang w:val="es-ES"/>
        </w:rPr>
        <w:t>Review</w:t>
      </w:r>
      <w:proofErr w:type="spellEnd"/>
      <w:r w:rsidRPr="00C2288B">
        <w:rPr>
          <w:rFonts w:ascii="Arial" w:hAnsi="Arial"/>
          <w:i/>
          <w:sz w:val="20"/>
          <w:szCs w:val="20"/>
          <w:lang w:val="es-ES"/>
        </w:rPr>
        <w:t xml:space="preserve">, </w:t>
      </w:r>
      <w:r w:rsidRPr="00C2288B">
        <w:rPr>
          <w:rFonts w:ascii="Arial" w:hAnsi="Arial"/>
          <w:sz w:val="20"/>
          <w:szCs w:val="20"/>
          <w:lang w:val="es-ES"/>
        </w:rPr>
        <w:t>48(4): 262-297.</w:t>
      </w:r>
    </w:p>
    <w:p w:rsidR="00C2288B" w:rsidRDefault="00C2288B" w:rsidP="00C2288B">
      <w:pPr>
        <w:pStyle w:val="Prrafodelista"/>
        <w:spacing w:after="0" w:line="240" w:lineRule="auto"/>
        <w:ind w:left="0"/>
        <w:contextualSpacing w:val="0"/>
        <w:jc w:val="both"/>
        <w:rPr>
          <w:rFonts w:ascii="Arial" w:hAnsi="Arial"/>
          <w:sz w:val="20"/>
          <w:szCs w:val="20"/>
          <w:lang w:val="en-U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n-US"/>
        </w:rPr>
      </w:pPr>
      <w:r w:rsidRPr="00C2288B">
        <w:rPr>
          <w:rFonts w:ascii="Arial" w:hAnsi="Arial"/>
          <w:sz w:val="20"/>
          <w:szCs w:val="20"/>
          <w:lang w:val="en-US"/>
        </w:rPr>
        <w:t xml:space="preserve">Myers, S. (1977). </w:t>
      </w:r>
      <w:proofErr w:type="gramStart"/>
      <w:r w:rsidRPr="00C2288B">
        <w:rPr>
          <w:rFonts w:ascii="Arial" w:hAnsi="Arial"/>
          <w:sz w:val="20"/>
          <w:szCs w:val="20"/>
          <w:lang w:val="en-US"/>
        </w:rPr>
        <w:t>“Determinants of Corporate Borrowing”.</w:t>
      </w:r>
      <w:proofErr w:type="gramEnd"/>
      <w:r w:rsidRPr="00C2288B">
        <w:rPr>
          <w:rFonts w:ascii="Arial" w:hAnsi="Arial"/>
          <w:sz w:val="20"/>
          <w:szCs w:val="20"/>
          <w:lang w:val="en-US"/>
        </w:rPr>
        <w:t xml:space="preserve"> </w:t>
      </w:r>
      <w:r w:rsidRPr="00C2288B">
        <w:rPr>
          <w:rFonts w:ascii="Arial" w:hAnsi="Arial"/>
          <w:i/>
          <w:sz w:val="20"/>
          <w:szCs w:val="20"/>
          <w:lang w:val="en-US"/>
        </w:rPr>
        <w:t>Journal of Finance Economics,</w:t>
      </w:r>
      <w:r w:rsidRPr="00C2288B">
        <w:rPr>
          <w:rFonts w:ascii="Arial" w:hAnsi="Arial"/>
          <w:sz w:val="20"/>
          <w:szCs w:val="20"/>
          <w:lang w:val="en-US"/>
        </w:rPr>
        <w:t xml:space="preserve"> 5(2): 147-175.</w:t>
      </w:r>
    </w:p>
    <w:p w:rsidR="00C2288B" w:rsidRDefault="00C2288B" w:rsidP="00C2288B">
      <w:pPr>
        <w:pStyle w:val="Prrafodelista"/>
        <w:spacing w:after="0" w:line="240" w:lineRule="auto"/>
        <w:ind w:left="0"/>
        <w:contextualSpacing w:val="0"/>
        <w:jc w:val="both"/>
        <w:rPr>
          <w:rFonts w:ascii="Arial" w:hAnsi="Arial"/>
          <w:sz w:val="20"/>
          <w:szCs w:val="20"/>
          <w:lang w:val="en-U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n-US"/>
        </w:rPr>
      </w:pPr>
      <w:r w:rsidRPr="00C2288B">
        <w:rPr>
          <w:rFonts w:ascii="Arial" w:hAnsi="Arial"/>
          <w:sz w:val="20"/>
          <w:szCs w:val="20"/>
          <w:lang w:val="en-US"/>
        </w:rPr>
        <w:t xml:space="preserve">Myers, S. (2001). “Capital structure”. </w:t>
      </w:r>
      <w:r w:rsidRPr="00C2288B">
        <w:rPr>
          <w:rFonts w:ascii="Arial" w:hAnsi="Arial"/>
          <w:i/>
          <w:sz w:val="20"/>
          <w:szCs w:val="20"/>
          <w:lang w:val="en-US"/>
        </w:rPr>
        <w:t>Journal of Economic Perspectives,</w:t>
      </w:r>
      <w:r w:rsidRPr="00C2288B">
        <w:rPr>
          <w:rFonts w:ascii="Arial" w:hAnsi="Arial"/>
          <w:sz w:val="20"/>
          <w:szCs w:val="20"/>
          <w:lang w:val="en-US"/>
        </w:rPr>
        <w:t xml:space="preserve"> 15(2): 81-102.</w:t>
      </w:r>
    </w:p>
    <w:p w:rsidR="00C2288B" w:rsidRDefault="00C2288B" w:rsidP="00C2288B">
      <w:pPr>
        <w:pStyle w:val="Prrafodelista"/>
        <w:spacing w:after="0" w:line="240" w:lineRule="auto"/>
        <w:ind w:left="0"/>
        <w:contextualSpacing w:val="0"/>
        <w:jc w:val="both"/>
        <w:rPr>
          <w:rFonts w:ascii="Arial" w:hAnsi="Arial"/>
          <w:sz w:val="20"/>
          <w:szCs w:val="20"/>
          <w:lang w:val="en-US"/>
        </w:rPr>
      </w:pPr>
    </w:p>
    <w:p w:rsidR="00770542" w:rsidRPr="001F329C" w:rsidRDefault="00770542" w:rsidP="00C2288B">
      <w:pPr>
        <w:pStyle w:val="Prrafodelista"/>
        <w:spacing w:after="0" w:line="240" w:lineRule="auto"/>
        <w:ind w:left="0"/>
        <w:contextualSpacing w:val="0"/>
        <w:jc w:val="both"/>
        <w:rPr>
          <w:rFonts w:ascii="Arial" w:hAnsi="Arial"/>
          <w:sz w:val="20"/>
          <w:szCs w:val="20"/>
          <w:lang w:val="en-US"/>
        </w:rPr>
      </w:pPr>
      <w:r w:rsidRPr="00C2288B">
        <w:rPr>
          <w:rFonts w:ascii="Arial" w:hAnsi="Arial"/>
          <w:sz w:val="20"/>
          <w:szCs w:val="20"/>
          <w:lang w:val="en-US"/>
        </w:rPr>
        <w:t xml:space="preserve">Nasr, R., Barry, P.J. y </w:t>
      </w:r>
      <w:proofErr w:type="spellStart"/>
      <w:r w:rsidRPr="00C2288B">
        <w:rPr>
          <w:rFonts w:ascii="Arial" w:hAnsi="Arial"/>
          <w:sz w:val="20"/>
          <w:szCs w:val="20"/>
          <w:lang w:val="en-US"/>
        </w:rPr>
        <w:t>Ellinger</w:t>
      </w:r>
      <w:proofErr w:type="spellEnd"/>
      <w:r w:rsidRPr="00C2288B">
        <w:rPr>
          <w:rFonts w:ascii="Arial" w:hAnsi="Arial"/>
          <w:sz w:val="20"/>
          <w:szCs w:val="20"/>
          <w:lang w:val="en-US"/>
        </w:rPr>
        <w:t xml:space="preserve">, P.N. (1998). </w:t>
      </w:r>
      <w:proofErr w:type="gramStart"/>
      <w:r w:rsidRPr="00C2288B">
        <w:rPr>
          <w:rFonts w:ascii="Arial" w:hAnsi="Arial"/>
          <w:sz w:val="20"/>
          <w:szCs w:val="20"/>
          <w:lang w:val="en-US"/>
        </w:rPr>
        <w:t>“Financial structure and efficiency of grain farms”.</w:t>
      </w:r>
      <w:proofErr w:type="gramEnd"/>
      <w:r w:rsidRPr="00C2288B">
        <w:rPr>
          <w:rFonts w:ascii="Arial" w:hAnsi="Arial"/>
          <w:sz w:val="20"/>
          <w:szCs w:val="20"/>
          <w:lang w:val="en-US"/>
        </w:rPr>
        <w:t xml:space="preserve"> </w:t>
      </w:r>
      <w:r w:rsidRPr="001F329C">
        <w:rPr>
          <w:rFonts w:ascii="Arial" w:hAnsi="Arial"/>
          <w:i/>
          <w:sz w:val="20"/>
          <w:szCs w:val="20"/>
          <w:lang w:val="en-US"/>
        </w:rPr>
        <w:t>Agricultural Finance Review</w:t>
      </w:r>
      <w:r w:rsidRPr="001F329C">
        <w:rPr>
          <w:rFonts w:ascii="Arial" w:hAnsi="Arial"/>
          <w:sz w:val="20"/>
          <w:szCs w:val="20"/>
          <w:lang w:val="en-US"/>
        </w:rPr>
        <w:t>, 58: 33-48.</w:t>
      </w:r>
    </w:p>
    <w:p w:rsidR="00C2288B" w:rsidRPr="001F329C" w:rsidRDefault="00C2288B" w:rsidP="00C2288B">
      <w:pPr>
        <w:pStyle w:val="Prrafodelista"/>
        <w:spacing w:after="0" w:line="240" w:lineRule="auto"/>
        <w:ind w:left="0"/>
        <w:contextualSpacing w:val="0"/>
        <w:jc w:val="both"/>
        <w:rPr>
          <w:rFonts w:ascii="Arial" w:hAnsi="Arial"/>
          <w:sz w:val="20"/>
          <w:szCs w:val="20"/>
          <w:lang w:val="en-U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n-US"/>
        </w:rPr>
      </w:pPr>
      <w:r w:rsidRPr="00397CCA">
        <w:rPr>
          <w:rFonts w:ascii="Arial" w:hAnsi="Arial"/>
          <w:sz w:val="20"/>
          <w:szCs w:val="20"/>
          <w:lang w:val="es-ES"/>
        </w:rPr>
        <w:t xml:space="preserve">Rajan, R. y </w:t>
      </w:r>
      <w:proofErr w:type="spellStart"/>
      <w:r w:rsidRPr="00397CCA">
        <w:rPr>
          <w:rFonts w:ascii="Arial" w:hAnsi="Arial"/>
          <w:sz w:val="20"/>
          <w:szCs w:val="20"/>
          <w:lang w:val="es-ES"/>
        </w:rPr>
        <w:t>Zingales</w:t>
      </w:r>
      <w:proofErr w:type="spellEnd"/>
      <w:r w:rsidRPr="00397CCA">
        <w:rPr>
          <w:rFonts w:ascii="Arial" w:hAnsi="Arial"/>
          <w:sz w:val="20"/>
          <w:szCs w:val="20"/>
          <w:lang w:val="es-ES"/>
        </w:rPr>
        <w:t xml:space="preserve">, L. (1995). </w:t>
      </w:r>
      <w:r w:rsidRPr="00C2288B">
        <w:rPr>
          <w:rFonts w:ascii="Arial" w:hAnsi="Arial"/>
          <w:sz w:val="20"/>
          <w:szCs w:val="20"/>
          <w:lang w:val="en-US"/>
        </w:rPr>
        <w:t xml:space="preserve">“What do we know about capital structure?” Some evidence from international data”. </w:t>
      </w:r>
      <w:r w:rsidRPr="00C2288B">
        <w:rPr>
          <w:rFonts w:ascii="Arial" w:hAnsi="Arial"/>
          <w:i/>
          <w:sz w:val="20"/>
          <w:szCs w:val="20"/>
          <w:lang w:val="en-US"/>
        </w:rPr>
        <w:t>Journal of Finance,</w:t>
      </w:r>
      <w:r w:rsidRPr="00C2288B">
        <w:rPr>
          <w:rFonts w:ascii="Arial" w:hAnsi="Arial"/>
          <w:sz w:val="20"/>
          <w:szCs w:val="20"/>
          <w:lang w:val="en-US"/>
        </w:rPr>
        <w:t xml:space="preserve"> 50(5): 1421-1460.</w:t>
      </w:r>
    </w:p>
    <w:p w:rsidR="00C2288B" w:rsidRDefault="00C2288B" w:rsidP="00C2288B">
      <w:pPr>
        <w:pStyle w:val="Prrafodelista"/>
        <w:spacing w:after="0" w:line="240" w:lineRule="auto"/>
        <w:ind w:left="0"/>
        <w:contextualSpacing w:val="0"/>
        <w:jc w:val="both"/>
        <w:rPr>
          <w:rFonts w:ascii="Arial" w:hAnsi="Arial"/>
          <w:sz w:val="20"/>
          <w:szCs w:val="20"/>
          <w:lang w:val="en-U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s-ES"/>
        </w:rPr>
      </w:pPr>
      <w:proofErr w:type="spellStart"/>
      <w:proofErr w:type="gramStart"/>
      <w:r w:rsidRPr="00C2288B">
        <w:rPr>
          <w:rFonts w:ascii="Arial" w:hAnsi="Arial"/>
          <w:sz w:val="20"/>
          <w:szCs w:val="20"/>
          <w:lang w:val="en-US"/>
        </w:rPr>
        <w:t>Scherr</w:t>
      </w:r>
      <w:proofErr w:type="spellEnd"/>
      <w:r w:rsidRPr="00C2288B">
        <w:rPr>
          <w:rFonts w:ascii="Arial" w:hAnsi="Arial"/>
          <w:sz w:val="20"/>
          <w:szCs w:val="20"/>
          <w:lang w:val="en-US"/>
        </w:rPr>
        <w:t xml:space="preserve">, F. y </w:t>
      </w:r>
      <w:proofErr w:type="spellStart"/>
      <w:r w:rsidRPr="00C2288B">
        <w:rPr>
          <w:rFonts w:ascii="Arial" w:hAnsi="Arial"/>
          <w:sz w:val="20"/>
          <w:szCs w:val="20"/>
          <w:lang w:val="en-US"/>
        </w:rPr>
        <w:t>Hulburt</w:t>
      </w:r>
      <w:proofErr w:type="spellEnd"/>
      <w:r w:rsidRPr="00C2288B">
        <w:rPr>
          <w:rFonts w:ascii="Arial" w:hAnsi="Arial"/>
          <w:sz w:val="20"/>
          <w:szCs w:val="20"/>
          <w:lang w:val="en-US"/>
        </w:rPr>
        <w:t>, H. (2001).</w:t>
      </w:r>
      <w:proofErr w:type="gramEnd"/>
      <w:r w:rsidRPr="00C2288B">
        <w:rPr>
          <w:rFonts w:ascii="Arial" w:hAnsi="Arial"/>
          <w:sz w:val="20"/>
          <w:szCs w:val="20"/>
          <w:lang w:val="en-US"/>
        </w:rPr>
        <w:t xml:space="preserve"> </w:t>
      </w:r>
      <w:proofErr w:type="gramStart"/>
      <w:r w:rsidRPr="00C2288B">
        <w:rPr>
          <w:rFonts w:ascii="Arial" w:hAnsi="Arial"/>
          <w:sz w:val="20"/>
          <w:szCs w:val="20"/>
          <w:lang w:val="en-US"/>
        </w:rPr>
        <w:t>“The debt maturity structure of small firms”.</w:t>
      </w:r>
      <w:proofErr w:type="gramEnd"/>
      <w:r w:rsidRPr="00C2288B">
        <w:rPr>
          <w:rFonts w:ascii="Arial" w:hAnsi="Arial"/>
          <w:sz w:val="20"/>
          <w:szCs w:val="20"/>
          <w:lang w:val="en-US"/>
        </w:rPr>
        <w:t xml:space="preserve"> </w:t>
      </w:r>
      <w:proofErr w:type="spellStart"/>
      <w:r w:rsidRPr="00C2288B">
        <w:rPr>
          <w:rFonts w:ascii="Arial" w:hAnsi="Arial"/>
          <w:i/>
          <w:sz w:val="20"/>
          <w:szCs w:val="20"/>
          <w:lang w:val="es-ES"/>
        </w:rPr>
        <w:t>Financial</w:t>
      </w:r>
      <w:proofErr w:type="spellEnd"/>
      <w:r w:rsidRPr="00C2288B">
        <w:rPr>
          <w:rFonts w:ascii="Arial" w:hAnsi="Arial"/>
          <w:i/>
          <w:sz w:val="20"/>
          <w:szCs w:val="20"/>
          <w:lang w:val="es-ES"/>
        </w:rPr>
        <w:t xml:space="preserve"> Management,</w:t>
      </w:r>
      <w:r w:rsidRPr="00C2288B">
        <w:rPr>
          <w:rFonts w:ascii="Arial" w:hAnsi="Arial"/>
          <w:sz w:val="20"/>
          <w:szCs w:val="20"/>
          <w:lang w:val="es-ES"/>
        </w:rPr>
        <w:t xml:space="preserve"> 30(1): 85-111.</w:t>
      </w:r>
    </w:p>
    <w:p w:rsidR="00C2288B" w:rsidRDefault="00C2288B" w:rsidP="00C2288B">
      <w:pPr>
        <w:pStyle w:val="Prrafodelista"/>
        <w:spacing w:after="0" w:line="240" w:lineRule="auto"/>
        <w:ind w:left="0"/>
        <w:contextualSpacing w:val="0"/>
        <w:jc w:val="both"/>
        <w:rPr>
          <w:rFonts w:ascii="Arial" w:hAnsi="Arial"/>
          <w:sz w:val="20"/>
          <w:szCs w:val="20"/>
          <w:lang w:val="es-ES"/>
        </w:rPr>
      </w:pPr>
    </w:p>
    <w:p w:rsidR="00770542" w:rsidRPr="00C2288B" w:rsidRDefault="00770542" w:rsidP="00C2288B">
      <w:pPr>
        <w:pStyle w:val="Prrafodelista"/>
        <w:spacing w:after="0" w:line="240" w:lineRule="auto"/>
        <w:ind w:left="0"/>
        <w:contextualSpacing w:val="0"/>
        <w:jc w:val="both"/>
        <w:rPr>
          <w:rFonts w:ascii="Arial" w:hAnsi="Arial"/>
          <w:sz w:val="20"/>
          <w:szCs w:val="20"/>
          <w:lang w:val="es-ES"/>
        </w:rPr>
      </w:pPr>
      <w:proofErr w:type="spellStart"/>
      <w:r w:rsidRPr="00C2288B">
        <w:rPr>
          <w:rFonts w:ascii="Arial" w:hAnsi="Arial"/>
          <w:sz w:val="20"/>
          <w:szCs w:val="20"/>
          <w:lang w:val="es-ES"/>
        </w:rPr>
        <w:t>Stohs</w:t>
      </w:r>
      <w:proofErr w:type="spellEnd"/>
      <w:r w:rsidRPr="00C2288B">
        <w:rPr>
          <w:rFonts w:ascii="Arial" w:hAnsi="Arial"/>
          <w:sz w:val="20"/>
          <w:szCs w:val="20"/>
          <w:lang w:val="es-ES"/>
        </w:rPr>
        <w:t xml:space="preserve">, M. y </w:t>
      </w:r>
      <w:proofErr w:type="spellStart"/>
      <w:r w:rsidRPr="00C2288B">
        <w:rPr>
          <w:rFonts w:ascii="Arial" w:hAnsi="Arial"/>
          <w:sz w:val="20"/>
          <w:szCs w:val="20"/>
          <w:lang w:val="es-ES"/>
        </w:rPr>
        <w:t>Mauer</w:t>
      </w:r>
      <w:proofErr w:type="spellEnd"/>
      <w:r w:rsidRPr="00C2288B">
        <w:rPr>
          <w:rFonts w:ascii="Arial" w:hAnsi="Arial"/>
          <w:sz w:val="20"/>
          <w:szCs w:val="20"/>
          <w:lang w:val="es-ES"/>
        </w:rPr>
        <w:t xml:space="preserve">, D. (1996). </w:t>
      </w:r>
      <w:proofErr w:type="gramStart"/>
      <w:r w:rsidRPr="00C2288B">
        <w:rPr>
          <w:rFonts w:ascii="Arial" w:hAnsi="Arial"/>
          <w:sz w:val="20"/>
          <w:szCs w:val="20"/>
          <w:lang w:val="en-US"/>
        </w:rPr>
        <w:t>“The determinants of corporate debt maturity structure”.</w:t>
      </w:r>
      <w:proofErr w:type="gramEnd"/>
      <w:r w:rsidRPr="00C2288B">
        <w:rPr>
          <w:rFonts w:ascii="Arial" w:hAnsi="Arial"/>
          <w:sz w:val="20"/>
          <w:szCs w:val="20"/>
          <w:lang w:val="en-US"/>
        </w:rPr>
        <w:t xml:space="preserve"> </w:t>
      </w:r>
      <w:proofErr w:type="spellStart"/>
      <w:r w:rsidRPr="00C2288B">
        <w:rPr>
          <w:rFonts w:ascii="Arial" w:hAnsi="Arial"/>
          <w:i/>
          <w:sz w:val="20"/>
          <w:szCs w:val="20"/>
          <w:lang w:val="es-ES"/>
        </w:rPr>
        <w:t>Journal</w:t>
      </w:r>
      <w:proofErr w:type="spellEnd"/>
      <w:r w:rsidRPr="00C2288B">
        <w:rPr>
          <w:rFonts w:ascii="Arial" w:hAnsi="Arial"/>
          <w:i/>
          <w:sz w:val="20"/>
          <w:szCs w:val="20"/>
          <w:lang w:val="es-ES"/>
        </w:rPr>
        <w:t xml:space="preserve"> of Business,</w:t>
      </w:r>
      <w:r w:rsidRPr="00C2288B">
        <w:rPr>
          <w:rFonts w:ascii="Arial" w:hAnsi="Arial"/>
          <w:sz w:val="20"/>
          <w:szCs w:val="20"/>
          <w:lang w:val="es-ES"/>
        </w:rPr>
        <w:t xml:space="preserve"> 69(3): 279-312.</w:t>
      </w:r>
    </w:p>
    <w:p w:rsidR="00A27D33" w:rsidRPr="00C2288B" w:rsidRDefault="00A27D33" w:rsidP="00C2288B">
      <w:pPr>
        <w:pStyle w:val="Textoindependiente"/>
        <w:spacing w:before="0" w:after="0"/>
        <w:rPr>
          <w:rFonts w:ascii="Arial" w:hAnsi="Arial"/>
          <w:sz w:val="20"/>
          <w:szCs w:val="20"/>
        </w:rPr>
      </w:pPr>
    </w:p>
    <w:sectPr w:rsidR="00A27D33" w:rsidRPr="00C2288B" w:rsidSect="00A573E3">
      <w:footerReference w:type="even" r:id="rId10"/>
      <w:footerReference w:type="default" r:id="rId11"/>
      <w:pgSz w:w="11900" w:h="16840"/>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3BAB" w:rsidRDefault="00D13BAB" w:rsidP="00234504">
      <w:r>
        <w:separator/>
      </w:r>
    </w:p>
  </w:endnote>
  <w:endnote w:type="continuationSeparator" w:id="0">
    <w:p w:rsidR="00D13BAB" w:rsidRDefault="00D13BAB" w:rsidP="00234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3808" w:rsidRDefault="00943808" w:rsidP="00A573E3">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43808" w:rsidRDefault="00943808" w:rsidP="00A573E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3808" w:rsidRPr="00A573E3" w:rsidRDefault="00943808" w:rsidP="00A573E3">
    <w:pPr>
      <w:pStyle w:val="Piedepgina"/>
      <w:framePr w:wrap="around" w:vAnchor="text" w:hAnchor="margin" w:xAlign="right" w:y="1"/>
      <w:rPr>
        <w:rStyle w:val="Nmerodepgina"/>
        <w:rFonts w:ascii="Arial" w:hAnsi="Arial"/>
        <w:sz w:val="18"/>
        <w:szCs w:val="18"/>
      </w:rPr>
    </w:pPr>
    <w:r w:rsidRPr="00A573E3">
      <w:rPr>
        <w:rStyle w:val="Nmerodepgina"/>
        <w:rFonts w:ascii="Arial" w:hAnsi="Arial"/>
        <w:sz w:val="18"/>
        <w:szCs w:val="18"/>
      </w:rPr>
      <w:fldChar w:fldCharType="begin"/>
    </w:r>
    <w:r w:rsidRPr="00A573E3">
      <w:rPr>
        <w:rStyle w:val="Nmerodepgina"/>
        <w:rFonts w:ascii="Arial" w:hAnsi="Arial"/>
        <w:sz w:val="18"/>
        <w:szCs w:val="18"/>
      </w:rPr>
      <w:instrText xml:space="preserve">PAGE  </w:instrText>
    </w:r>
    <w:r w:rsidRPr="00A573E3">
      <w:rPr>
        <w:rStyle w:val="Nmerodepgina"/>
        <w:rFonts w:ascii="Arial" w:hAnsi="Arial"/>
        <w:sz w:val="18"/>
        <w:szCs w:val="18"/>
      </w:rPr>
      <w:fldChar w:fldCharType="separate"/>
    </w:r>
    <w:r w:rsidR="00397CCA">
      <w:rPr>
        <w:rStyle w:val="Nmerodepgina"/>
        <w:rFonts w:ascii="Arial" w:hAnsi="Arial"/>
        <w:noProof/>
        <w:sz w:val="18"/>
        <w:szCs w:val="18"/>
      </w:rPr>
      <w:t>14</w:t>
    </w:r>
    <w:r w:rsidRPr="00A573E3">
      <w:rPr>
        <w:rStyle w:val="Nmerodepgina"/>
        <w:rFonts w:ascii="Arial" w:hAnsi="Arial"/>
        <w:sz w:val="18"/>
        <w:szCs w:val="18"/>
      </w:rPr>
      <w:fldChar w:fldCharType="end"/>
    </w:r>
  </w:p>
  <w:p w:rsidR="00943808" w:rsidRDefault="00943808" w:rsidP="00A573E3">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3BAB" w:rsidRDefault="00D13BAB" w:rsidP="00234504">
      <w:r>
        <w:separator/>
      </w:r>
    </w:p>
  </w:footnote>
  <w:footnote w:type="continuationSeparator" w:id="0">
    <w:p w:rsidR="00D13BAB" w:rsidRDefault="00D13BAB" w:rsidP="00234504">
      <w:r>
        <w:continuationSeparator/>
      </w:r>
    </w:p>
  </w:footnote>
  <w:footnote w:id="1">
    <w:p w:rsidR="00943808" w:rsidRPr="00687A0A" w:rsidRDefault="00943808" w:rsidP="00687A0A">
      <w:pPr>
        <w:jc w:val="both"/>
        <w:rPr>
          <w:rFonts w:ascii="Arial" w:hAnsi="Arial" w:cs="Arial"/>
          <w:sz w:val="18"/>
          <w:szCs w:val="18"/>
        </w:rPr>
      </w:pPr>
      <w:r w:rsidRPr="00687A0A">
        <w:rPr>
          <w:rStyle w:val="Refdenotaalpie"/>
          <w:rFonts w:ascii="Arial" w:hAnsi="Arial" w:cs="Arial"/>
          <w:sz w:val="18"/>
          <w:szCs w:val="18"/>
        </w:rPr>
        <w:footnoteRef/>
      </w:r>
      <w:r w:rsidRPr="00687A0A">
        <w:rPr>
          <w:rFonts w:ascii="Arial" w:hAnsi="Arial" w:cs="Arial"/>
          <w:sz w:val="18"/>
          <w:szCs w:val="18"/>
        </w:rPr>
        <w:t xml:space="preserve"> Jensen </w:t>
      </w:r>
      <w:r>
        <w:rPr>
          <w:rFonts w:ascii="Arial" w:hAnsi="Arial" w:cs="Arial"/>
          <w:sz w:val="18"/>
          <w:szCs w:val="18"/>
        </w:rPr>
        <w:t xml:space="preserve">(1976, 1986) </w:t>
      </w:r>
      <w:r w:rsidRPr="00687A0A">
        <w:rPr>
          <w:rFonts w:ascii="Arial" w:hAnsi="Arial" w:cs="Arial"/>
          <w:sz w:val="18"/>
          <w:szCs w:val="18"/>
        </w:rPr>
        <w:t>apunta una relación positiva entre endeudamiento y eficiencia dado que las empresas más endeudadas incrementan su eficiencia al precisar de un mayor esfuerzo para afrontar sus obligaciones financieras. Además se genera una reducción de los problemas de agencia entre propietarios y directivos en relación con el flujo de caja libre ya que una forma de incrementar la eficiencia en empresas con exceso de flujo de caja es a través de políticas de incrementos de dividendos.</w:t>
      </w:r>
    </w:p>
  </w:footnote>
  <w:footnote w:id="2">
    <w:p w:rsidR="00943808" w:rsidRPr="000A5B26" w:rsidRDefault="00943808" w:rsidP="000A5B26">
      <w:pPr>
        <w:pStyle w:val="Textonotapie"/>
        <w:ind w:left="142" w:hanging="142"/>
        <w:jc w:val="both"/>
        <w:rPr>
          <w:rFonts w:ascii="Arial" w:hAnsi="Arial" w:cs="Arial"/>
          <w:szCs w:val="18"/>
        </w:rPr>
      </w:pPr>
      <w:r w:rsidRPr="000A5B26">
        <w:rPr>
          <w:rStyle w:val="Refdenotaalpie"/>
          <w:rFonts w:ascii="Arial" w:hAnsi="Arial" w:cs="Arial"/>
          <w:szCs w:val="18"/>
        </w:rPr>
        <w:footnoteRef/>
      </w:r>
      <w:r w:rsidRPr="000A5B26">
        <w:rPr>
          <w:rFonts w:ascii="Arial" w:hAnsi="Arial" w:cs="Arial"/>
          <w:szCs w:val="18"/>
        </w:rPr>
        <w:t xml:space="preserve"> Recomendación de la Comisión, de 6 de mayo de 2003, sobre la definición de microempresas, pequeñas y medianas empresas. Diario Oficial nº L124, de 20 de mayo de 2003; pág. 0036-0041.</w:t>
      </w:r>
    </w:p>
  </w:footnote>
  <w:footnote w:id="3">
    <w:p w:rsidR="00943808" w:rsidRDefault="00943808">
      <w:pPr>
        <w:pStyle w:val="Textonotapie"/>
        <w:ind w:left="113" w:hanging="113"/>
        <w:jc w:val="both"/>
        <w:rPr>
          <w:rFonts w:ascii="Arial" w:hAnsi="Arial" w:cs="Arial"/>
          <w:szCs w:val="18"/>
        </w:rPr>
      </w:pPr>
      <w:r w:rsidRPr="00A27D33">
        <w:rPr>
          <w:rStyle w:val="Refdenotaalpie"/>
          <w:rFonts w:ascii="Arial" w:hAnsi="Arial" w:cs="Arial"/>
          <w:szCs w:val="18"/>
        </w:rPr>
        <w:footnoteRef/>
      </w:r>
      <w:r w:rsidRPr="00A27D33">
        <w:rPr>
          <w:rFonts w:ascii="Arial" w:hAnsi="Arial" w:cs="Arial"/>
          <w:szCs w:val="18"/>
        </w:rPr>
        <w:t xml:space="preserve"> Sería preciso agregar al excedente contable de explotación las liquidaciones practicadas a los socios y restarle a continuación el precio medio de mercado de los productos comercializados por la cooperativa, obteniendo así el diferencial de precios pagados por la cooperativa respecto al mercado.</w:t>
      </w:r>
    </w:p>
  </w:footnote>
  <w:footnote w:id="4">
    <w:p w:rsidR="00943808" w:rsidRDefault="00943808">
      <w:pPr>
        <w:pStyle w:val="Textonotapie"/>
        <w:ind w:left="113" w:hanging="113"/>
        <w:jc w:val="both"/>
        <w:rPr>
          <w:rFonts w:ascii="Arial" w:hAnsi="Arial" w:cs="Arial"/>
          <w:szCs w:val="18"/>
          <w:lang w:val="es-ES_tradnl"/>
        </w:rPr>
      </w:pPr>
      <w:r w:rsidRPr="00A27D33">
        <w:rPr>
          <w:rStyle w:val="Refdenotaalpie"/>
          <w:rFonts w:ascii="Arial" w:hAnsi="Arial" w:cs="Arial"/>
          <w:szCs w:val="18"/>
        </w:rPr>
        <w:footnoteRef/>
      </w:r>
      <w:r w:rsidRPr="00A27D33">
        <w:rPr>
          <w:rFonts w:ascii="Arial" w:hAnsi="Arial" w:cs="Arial"/>
          <w:szCs w:val="18"/>
        </w:rPr>
        <w:t xml:space="preserve"> Orden EHA/3360/2010, de 21 de diciembre, por la que se aprueban las </w:t>
      </w:r>
      <w:r w:rsidRPr="00A27D33">
        <w:rPr>
          <w:rFonts w:ascii="Arial" w:hAnsi="Arial" w:cs="Arial"/>
          <w:szCs w:val="18"/>
          <w:lang w:val="es-ES_tradnl"/>
        </w:rPr>
        <w:t>Normas sobre los Aspectos Contables de las Sociedades Cooperativas. Norma Octava “Adquisiciones de bienes a los socios”.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14E72"/>
    <w:multiLevelType w:val="multilevel"/>
    <w:tmpl w:val="B6DA7356"/>
    <w:lvl w:ilvl="0">
      <w:start w:val="1"/>
      <w:numFmt w:val="decimal"/>
      <w:pStyle w:val="Ttulo1"/>
      <w:suff w:val="space"/>
      <w:lvlText w:val="%1."/>
      <w:lvlJc w:val="left"/>
      <w:pPr>
        <w:ind w:left="0" w:firstLine="0"/>
      </w:pPr>
      <w:rPr>
        <w:rFonts w:ascii="Times New Roman" w:hAnsi="Times New Roman" w:hint="default"/>
        <w:b/>
        <w:i w:val="0"/>
        <w:caps w:val="0"/>
        <w:strike w:val="0"/>
        <w:dstrike w:val="0"/>
        <w:vanish w:val="0"/>
        <w:color w:val="000000"/>
        <w:sz w:val="24"/>
        <w:vertAlign w:val="baseline"/>
      </w:rPr>
    </w:lvl>
    <w:lvl w:ilvl="1">
      <w:start w:val="3"/>
      <w:numFmt w:val="decimal"/>
      <w:lvlText w:val="%2.1"/>
      <w:lvlJc w:val="left"/>
      <w:pPr>
        <w:ind w:left="360" w:hanging="360"/>
      </w:pPr>
      <w:rPr>
        <w:rFonts w:hint="default"/>
        <w:caps w:val="0"/>
        <w:strike w:val="0"/>
        <w:dstrike w:val="0"/>
        <w:vanish w:val="0"/>
        <w:vertAlign w:val="baseline"/>
      </w:rPr>
    </w:lvl>
    <w:lvl w:ilvl="2">
      <w:start w:val="1"/>
      <w:numFmt w:val="decimal"/>
      <w:pStyle w:val="Ttulo3"/>
      <w:suff w:val="space"/>
      <w:lvlText w:val="%2%3."/>
      <w:lvlJc w:val="left"/>
      <w:pPr>
        <w:ind w:left="0" w:firstLine="0"/>
      </w:pPr>
      <w:rPr>
        <w:rFonts w:hint="default"/>
      </w:rPr>
    </w:lvl>
    <w:lvl w:ilvl="3">
      <w:start w:val="1"/>
      <w:numFmt w:val="decimal"/>
      <w:pStyle w:val="Ttulo4"/>
      <w:suff w:val="space"/>
      <w:lvlText w:val="%2%3.%4."/>
      <w:lvlJc w:val="left"/>
      <w:pPr>
        <w:ind w:left="0" w:firstLine="0"/>
      </w:pPr>
      <w:rPr>
        <w:rFonts w:hint="default"/>
      </w:rPr>
    </w:lvl>
    <w:lvl w:ilvl="4">
      <w:start w:val="1"/>
      <w:numFmt w:val="lowerLetter"/>
      <w:pStyle w:val="Ttulo5"/>
      <w:suff w:val="space"/>
      <w:lvlText w:val="%5."/>
      <w:lvlJc w:val="left"/>
      <w:pPr>
        <w:ind w:left="0" w:firstLine="0"/>
      </w:pPr>
      <w:rPr>
        <w:rFonts w:hint="default"/>
      </w:rPr>
    </w:lvl>
    <w:lvl w:ilvl="5">
      <w:start w:val="1"/>
      <w:numFmt w:val="lowerRoman"/>
      <w:suff w:val="space"/>
      <w:lvlText w:val="%6."/>
      <w:lvlJc w:val="left"/>
      <w:pPr>
        <w:ind w:left="0" w:firstLine="0"/>
      </w:pPr>
      <w:rPr>
        <w:rFonts w:hint="default"/>
      </w:rPr>
    </w:lvl>
    <w:lvl w:ilvl="6">
      <w:start w:val="1"/>
      <w:numFmt w:val="none"/>
      <w:pStyle w:val="Ttulo7"/>
      <w:suff w:val="nothing"/>
      <w:lvlText w:val=""/>
      <w:lvlJc w:val="left"/>
      <w:pPr>
        <w:ind w:left="0" w:firstLine="0"/>
      </w:pPr>
      <w:rPr>
        <w:rFonts w:hint="default"/>
      </w:rPr>
    </w:lvl>
    <w:lvl w:ilvl="7">
      <w:start w:val="1"/>
      <w:numFmt w:val="none"/>
      <w:pStyle w:val="Ttulo8"/>
      <w:suff w:val="nothing"/>
      <w:lvlText w:val=""/>
      <w:lvlJc w:val="left"/>
      <w:pPr>
        <w:ind w:left="0" w:firstLine="0"/>
      </w:pPr>
      <w:rPr>
        <w:rFonts w:hint="default"/>
      </w:rPr>
    </w:lvl>
    <w:lvl w:ilvl="8">
      <w:start w:val="1"/>
      <w:numFmt w:val="none"/>
      <w:pStyle w:val="Ttulo9"/>
      <w:suff w:val="nothing"/>
      <w:lvlText w:val=""/>
      <w:lvlJc w:val="left"/>
      <w:pPr>
        <w:ind w:left="0" w:firstLine="0"/>
      </w:pPr>
      <w:rPr>
        <w:rFonts w:hint="default"/>
      </w:rPr>
    </w:lvl>
  </w:abstractNum>
  <w:abstractNum w:abstractNumId="1">
    <w:nsid w:val="41DD72FF"/>
    <w:multiLevelType w:val="multilevel"/>
    <w:tmpl w:val="B52A94D2"/>
    <w:lvl w:ilvl="0">
      <w:start w:val="3"/>
      <w:numFmt w:val="decimal"/>
      <w:lvlText w:val="%1."/>
      <w:lvlJc w:val="left"/>
      <w:pPr>
        <w:ind w:left="502" w:hanging="360"/>
      </w:pPr>
      <w:rPr>
        <w:rFonts w:hint="default"/>
      </w:rPr>
    </w:lvl>
    <w:lvl w:ilvl="1">
      <w:start w:val="1"/>
      <w:numFmt w:val="decimal"/>
      <w:isLgl/>
      <w:lvlText w:val="%1.%2."/>
      <w:lvlJc w:val="left"/>
      <w:pPr>
        <w:ind w:left="522" w:hanging="38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2">
    <w:nsid w:val="557524DE"/>
    <w:multiLevelType w:val="hybridMultilevel"/>
    <w:tmpl w:val="289677A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55E338FD"/>
    <w:multiLevelType w:val="hybridMultilevel"/>
    <w:tmpl w:val="F05CB034"/>
    <w:lvl w:ilvl="0" w:tplc="35323558">
      <w:start w:val="1"/>
      <w:numFmt w:val="bullet"/>
      <w:pStyle w:val="Enumeracin"/>
      <w:lvlText w:val="-"/>
      <w:lvlJc w:val="left"/>
      <w:pPr>
        <w:tabs>
          <w:tab w:val="num" w:pos="720"/>
        </w:tabs>
        <w:ind w:left="720" w:hanging="360"/>
      </w:pPr>
      <w:rPr>
        <w:rFonts w:ascii="Times New Roman" w:hAnsi="Times New Roman" w:cs="Times New Roman" w:hint="default"/>
        <w:b w:val="0"/>
        <w:i w:val="0"/>
        <w:sz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5BB44595"/>
    <w:multiLevelType w:val="hybridMultilevel"/>
    <w:tmpl w:val="459A9C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830"/>
    <w:rsid w:val="000201A7"/>
    <w:rsid w:val="000235D5"/>
    <w:rsid w:val="000A5B26"/>
    <w:rsid w:val="000B1F52"/>
    <w:rsid w:val="000C3875"/>
    <w:rsid w:val="001778AC"/>
    <w:rsid w:val="001F329C"/>
    <w:rsid w:val="00234504"/>
    <w:rsid w:val="00261AB3"/>
    <w:rsid w:val="00270C89"/>
    <w:rsid w:val="002E14E4"/>
    <w:rsid w:val="00304AAB"/>
    <w:rsid w:val="00317198"/>
    <w:rsid w:val="00337574"/>
    <w:rsid w:val="00397CCA"/>
    <w:rsid w:val="004131F3"/>
    <w:rsid w:val="00425146"/>
    <w:rsid w:val="00470A2D"/>
    <w:rsid w:val="0048332B"/>
    <w:rsid w:val="00493802"/>
    <w:rsid w:val="004A292E"/>
    <w:rsid w:val="004B5201"/>
    <w:rsid w:val="004C7A23"/>
    <w:rsid w:val="004F5A99"/>
    <w:rsid w:val="00537887"/>
    <w:rsid w:val="005971F3"/>
    <w:rsid w:val="005D1126"/>
    <w:rsid w:val="00620D6E"/>
    <w:rsid w:val="0065556E"/>
    <w:rsid w:val="00676DAF"/>
    <w:rsid w:val="00687A0A"/>
    <w:rsid w:val="006C14F6"/>
    <w:rsid w:val="006C2C17"/>
    <w:rsid w:val="006C71BC"/>
    <w:rsid w:val="00744759"/>
    <w:rsid w:val="00770542"/>
    <w:rsid w:val="007F23B0"/>
    <w:rsid w:val="00835B00"/>
    <w:rsid w:val="00857512"/>
    <w:rsid w:val="008B2F7D"/>
    <w:rsid w:val="00915830"/>
    <w:rsid w:val="00935C97"/>
    <w:rsid w:val="00943808"/>
    <w:rsid w:val="009B62B2"/>
    <w:rsid w:val="009C5C44"/>
    <w:rsid w:val="00A27D33"/>
    <w:rsid w:val="00A573E3"/>
    <w:rsid w:val="00A95645"/>
    <w:rsid w:val="00B01383"/>
    <w:rsid w:val="00B57942"/>
    <w:rsid w:val="00B67BDF"/>
    <w:rsid w:val="00BA00B8"/>
    <w:rsid w:val="00C2288B"/>
    <w:rsid w:val="00C3115F"/>
    <w:rsid w:val="00C65773"/>
    <w:rsid w:val="00CB27A4"/>
    <w:rsid w:val="00CB4949"/>
    <w:rsid w:val="00D01569"/>
    <w:rsid w:val="00D1101E"/>
    <w:rsid w:val="00D13BAB"/>
    <w:rsid w:val="00D33468"/>
    <w:rsid w:val="00D842AE"/>
    <w:rsid w:val="00DE17C2"/>
    <w:rsid w:val="00E46132"/>
    <w:rsid w:val="00E8671E"/>
    <w:rsid w:val="00EA4401"/>
    <w:rsid w:val="00F10E17"/>
    <w:rsid w:val="00F17665"/>
    <w:rsid w:val="00F704F6"/>
    <w:rsid w:val="00FD6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Textoindependiente"/>
    <w:next w:val="Textoindependiente"/>
    <w:link w:val="Ttulo1Car"/>
    <w:qFormat/>
    <w:rsid w:val="00E46132"/>
    <w:pPr>
      <w:keepNext/>
      <w:numPr>
        <w:numId w:val="3"/>
      </w:numPr>
      <w:spacing w:before="240"/>
      <w:outlineLvl w:val="0"/>
    </w:pPr>
    <w:rPr>
      <w:b/>
      <w:bCs/>
      <w:kern w:val="32"/>
      <w:sz w:val="24"/>
      <w:szCs w:val="32"/>
    </w:rPr>
  </w:style>
  <w:style w:type="paragraph" w:styleId="Ttulo2">
    <w:name w:val="heading 2"/>
    <w:basedOn w:val="Textoindependiente"/>
    <w:next w:val="Textoindependiente"/>
    <w:link w:val="Ttulo2Car"/>
    <w:qFormat/>
    <w:rsid w:val="00E46132"/>
    <w:pPr>
      <w:keepNext/>
      <w:outlineLvl w:val="1"/>
    </w:pPr>
    <w:rPr>
      <w:b/>
      <w:bCs/>
      <w:i/>
      <w:iCs/>
      <w:szCs w:val="28"/>
    </w:rPr>
  </w:style>
  <w:style w:type="paragraph" w:styleId="Ttulo3">
    <w:name w:val="heading 3"/>
    <w:basedOn w:val="Normal"/>
    <w:next w:val="Normal"/>
    <w:link w:val="Ttulo3Car"/>
    <w:qFormat/>
    <w:rsid w:val="00E46132"/>
    <w:pPr>
      <w:keepNext/>
      <w:numPr>
        <w:ilvl w:val="2"/>
        <w:numId w:val="3"/>
      </w:numPr>
      <w:spacing w:before="240" w:after="60"/>
      <w:outlineLvl w:val="2"/>
    </w:pPr>
    <w:rPr>
      <w:rFonts w:ascii="Arial" w:eastAsia="Times New Roman" w:hAnsi="Arial" w:cs="Arial"/>
      <w:b/>
      <w:bCs/>
      <w:sz w:val="26"/>
      <w:szCs w:val="26"/>
      <w:lang w:val="es-ES"/>
    </w:rPr>
  </w:style>
  <w:style w:type="paragraph" w:styleId="Ttulo4">
    <w:name w:val="heading 4"/>
    <w:basedOn w:val="Normal"/>
    <w:next w:val="Normal"/>
    <w:link w:val="Ttulo4Car"/>
    <w:qFormat/>
    <w:rsid w:val="00E46132"/>
    <w:pPr>
      <w:keepNext/>
      <w:numPr>
        <w:ilvl w:val="3"/>
        <w:numId w:val="3"/>
      </w:numPr>
      <w:spacing w:before="240" w:after="60"/>
      <w:outlineLvl w:val="3"/>
    </w:pPr>
    <w:rPr>
      <w:rFonts w:ascii="Times New Roman" w:eastAsia="Times New Roman" w:hAnsi="Times New Roman" w:cs="Times New Roman"/>
      <w:b/>
      <w:bCs/>
      <w:sz w:val="28"/>
      <w:szCs w:val="28"/>
      <w:lang w:val="es-ES"/>
    </w:rPr>
  </w:style>
  <w:style w:type="paragraph" w:styleId="Ttulo5">
    <w:name w:val="heading 5"/>
    <w:basedOn w:val="Normal"/>
    <w:next w:val="Normal"/>
    <w:link w:val="Ttulo5Car"/>
    <w:qFormat/>
    <w:rsid w:val="00E46132"/>
    <w:pPr>
      <w:numPr>
        <w:ilvl w:val="4"/>
        <w:numId w:val="3"/>
      </w:numPr>
      <w:spacing w:before="240" w:after="60"/>
      <w:outlineLvl w:val="4"/>
    </w:pPr>
    <w:rPr>
      <w:rFonts w:ascii="Times New Roman" w:eastAsia="Times New Roman" w:hAnsi="Times New Roman" w:cs="Times New Roman"/>
      <w:b/>
      <w:bCs/>
      <w:i/>
      <w:iCs/>
      <w:sz w:val="26"/>
      <w:szCs w:val="26"/>
      <w:lang w:val="es-ES"/>
    </w:rPr>
  </w:style>
  <w:style w:type="paragraph" w:styleId="Ttulo7">
    <w:name w:val="heading 7"/>
    <w:basedOn w:val="Normal"/>
    <w:next w:val="Normal"/>
    <w:link w:val="Ttulo7Car"/>
    <w:qFormat/>
    <w:rsid w:val="00E46132"/>
    <w:pPr>
      <w:numPr>
        <w:ilvl w:val="6"/>
        <w:numId w:val="3"/>
      </w:numPr>
      <w:spacing w:before="240" w:after="60"/>
      <w:outlineLvl w:val="6"/>
    </w:pPr>
    <w:rPr>
      <w:rFonts w:ascii="Times New Roman" w:eastAsia="Times New Roman" w:hAnsi="Times New Roman" w:cs="Times New Roman"/>
      <w:lang w:val="es-ES"/>
    </w:rPr>
  </w:style>
  <w:style w:type="paragraph" w:styleId="Ttulo8">
    <w:name w:val="heading 8"/>
    <w:basedOn w:val="Normal"/>
    <w:next w:val="Normal"/>
    <w:link w:val="Ttulo8Car"/>
    <w:qFormat/>
    <w:rsid w:val="00E46132"/>
    <w:pPr>
      <w:numPr>
        <w:ilvl w:val="7"/>
        <w:numId w:val="3"/>
      </w:numPr>
      <w:spacing w:before="240" w:after="60"/>
      <w:outlineLvl w:val="7"/>
    </w:pPr>
    <w:rPr>
      <w:rFonts w:ascii="Times New Roman" w:eastAsia="Times New Roman" w:hAnsi="Times New Roman" w:cs="Times New Roman"/>
      <w:i/>
      <w:iCs/>
      <w:lang w:val="es-ES"/>
    </w:rPr>
  </w:style>
  <w:style w:type="paragraph" w:styleId="Ttulo9">
    <w:name w:val="heading 9"/>
    <w:basedOn w:val="Normal"/>
    <w:next w:val="Normal"/>
    <w:link w:val="Ttulo9Car"/>
    <w:qFormat/>
    <w:rsid w:val="00E46132"/>
    <w:pPr>
      <w:numPr>
        <w:ilvl w:val="8"/>
        <w:numId w:val="3"/>
      </w:numPr>
      <w:spacing w:before="240" w:after="60"/>
      <w:outlineLvl w:val="8"/>
    </w:pPr>
    <w:rPr>
      <w:rFonts w:ascii="Arial" w:eastAsia="Times New Roman" w:hAnsi="Arial" w:cs="Arial"/>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decuerpoCar"/>
    <w:rsid w:val="00915830"/>
    <w:pPr>
      <w:spacing w:before="120" w:after="120"/>
      <w:jc w:val="both"/>
    </w:pPr>
    <w:rPr>
      <w:rFonts w:ascii="Times New Roman" w:eastAsia="Times New Roman" w:hAnsi="Times New Roman" w:cs="Times New Roman"/>
      <w:sz w:val="22"/>
      <w:lang w:val="es-ES"/>
    </w:rPr>
  </w:style>
  <w:style w:type="character" w:customStyle="1" w:styleId="TextodecuerpoCar">
    <w:name w:val="Texto de cuerpo Car"/>
    <w:basedOn w:val="Fuentedeprrafopredeter"/>
    <w:link w:val="Textoindependiente"/>
    <w:rsid w:val="00915830"/>
    <w:rPr>
      <w:rFonts w:ascii="Times New Roman" w:eastAsia="Times New Roman" w:hAnsi="Times New Roman" w:cs="Times New Roman"/>
      <w:sz w:val="22"/>
      <w:lang w:val="es-ES"/>
    </w:rPr>
  </w:style>
  <w:style w:type="paragraph" w:styleId="Textonotapie">
    <w:name w:val="footnote text"/>
    <w:basedOn w:val="Normal"/>
    <w:link w:val="TextonotapieCar"/>
    <w:semiHidden/>
    <w:rsid w:val="00234504"/>
    <w:pPr>
      <w:ind w:left="360" w:hanging="360"/>
    </w:pPr>
    <w:rPr>
      <w:rFonts w:ascii="Times New Roman" w:eastAsia="Times New Roman" w:hAnsi="Times New Roman" w:cs="Times New Roman"/>
      <w:sz w:val="18"/>
      <w:szCs w:val="20"/>
      <w:lang w:val="es-ES"/>
    </w:rPr>
  </w:style>
  <w:style w:type="character" w:customStyle="1" w:styleId="TextonotapieCar">
    <w:name w:val="Texto nota pie Car"/>
    <w:basedOn w:val="Fuentedeprrafopredeter"/>
    <w:link w:val="Textonotapie"/>
    <w:uiPriority w:val="99"/>
    <w:semiHidden/>
    <w:rsid w:val="00234504"/>
    <w:rPr>
      <w:rFonts w:ascii="Times New Roman" w:eastAsia="Times New Roman" w:hAnsi="Times New Roman" w:cs="Times New Roman"/>
      <w:sz w:val="18"/>
      <w:szCs w:val="20"/>
      <w:lang w:val="es-ES"/>
    </w:rPr>
  </w:style>
  <w:style w:type="character" w:styleId="Refdenotaalpie">
    <w:name w:val="footnote reference"/>
    <w:basedOn w:val="Fuentedeprrafopredeter"/>
    <w:semiHidden/>
    <w:rsid w:val="00234504"/>
    <w:rPr>
      <w:vertAlign w:val="superscript"/>
    </w:rPr>
  </w:style>
  <w:style w:type="paragraph" w:styleId="Prrafodelista">
    <w:name w:val="List Paragraph"/>
    <w:basedOn w:val="Normal"/>
    <w:uiPriority w:val="34"/>
    <w:qFormat/>
    <w:rsid w:val="00234504"/>
    <w:pPr>
      <w:spacing w:after="200" w:line="276" w:lineRule="auto"/>
      <w:ind w:left="720"/>
      <w:contextualSpacing/>
    </w:pPr>
    <w:rPr>
      <w:rFonts w:ascii="Calibri" w:eastAsia="Calibri" w:hAnsi="Calibri" w:cs="Times New Roman"/>
      <w:sz w:val="22"/>
      <w:szCs w:val="22"/>
      <w:lang w:eastAsia="en-US"/>
    </w:rPr>
  </w:style>
  <w:style w:type="character" w:styleId="Hipervnculo">
    <w:name w:val="Hyperlink"/>
    <w:basedOn w:val="Fuentedeprrafopredeter"/>
    <w:uiPriority w:val="99"/>
    <w:unhideWhenUsed/>
    <w:rsid w:val="005D1126"/>
    <w:rPr>
      <w:color w:val="0000FF" w:themeColor="hyperlink"/>
      <w:u w:val="single"/>
    </w:rPr>
  </w:style>
  <w:style w:type="character" w:customStyle="1" w:styleId="Ttulo1Car">
    <w:name w:val="Título 1 Car"/>
    <w:basedOn w:val="Fuentedeprrafopredeter"/>
    <w:link w:val="Ttulo1"/>
    <w:rsid w:val="00E46132"/>
    <w:rPr>
      <w:rFonts w:ascii="Times New Roman" w:eastAsia="Times New Roman" w:hAnsi="Times New Roman" w:cs="Times New Roman"/>
      <w:b/>
      <w:bCs/>
      <w:kern w:val="32"/>
      <w:szCs w:val="32"/>
      <w:lang w:val="es-ES"/>
    </w:rPr>
  </w:style>
  <w:style w:type="character" w:customStyle="1" w:styleId="Ttulo2Car">
    <w:name w:val="Título 2 Car"/>
    <w:basedOn w:val="Fuentedeprrafopredeter"/>
    <w:link w:val="Ttulo2"/>
    <w:rsid w:val="00E46132"/>
    <w:rPr>
      <w:rFonts w:ascii="Times New Roman" w:eastAsia="Times New Roman" w:hAnsi="Times New Roman" w:cs="Times New Roman"/>
      <w:b/>
      <w:bCs/>
      <w:i/>
      <w:iCs/>
      <w:sz w:val="22"/>
      <w:szCs w:val="28"/>
      <w:lang w:val="es-ES"/>
    </w:rPr>
  </w:style>
  <w:style w:type="character" w:customStyle="1" w:styleId="Ttulo3Car">
    <w:name w:val="Título 3 Car"/>
    <w:basedOn w:val="Fuentedeprrafopredeter"/>
    <w:link w:val="Ttulo3"/>
    <w:rsid w:val="00E46132"/>
    <w:rPr>
      <w:rFonts w:ascii="Arial" w:eastAsia="Times New Roman" w:hAnsi="Arial" w:cs="Arial"/>
      <w:b/>
      <w:bCs/>
      <w:sz w:val="26"/>
      <w:szCs w:val="26"/>
      <w:lang w:val="es-ES"/>
    </w:rPr>
  </w:style>
  <w:style w:type="character" w:customStyle="1" w:styleId="Ttulo4Car">
    <w:name w:val="Título 4 Car"/>
    <w:basedOn w:val="Fuentedeprrafopredeter"/>
    <w:link w:val="Ttulo4"/>
    <w:rsid w:val="00E46132"/>
    <w:rPr>
      <w:rFonts w:ascii="Times New Roman" w:eastAsia="Times New Roman" w:hAnsi="Times New Roman" w:cs="Times New Roman"/>
      <w:b/>
      <w:bCs/>
      <w:sz w:val="28"/>
      <w:szCs w:val="28"/>
      <w:lang w:val="es-ES"/>
    </w:rPr>
  </w:style>
  <w:style w:type="character" w:customStyle="1" w:styleId="Ttulo5Car">
    <w:name w:val="Título 5 Car"/>
    <w:basedOn w:val="Fuentedeprrafopredeter"/>
    <w:link w:val="Ttulo5"/>
    <w:rsid w:val="00E46132"/>
    <w:rPr>
      <w:rFonts w:ascii="Times New Roman" w:eastAsia="Times New Roman" w:hAnsi="Times New Roman" w:cs="Times New Roman"/>
      <w:b/>
      <w:bCs/>
      <w:i/>
      <w:iCs/>
      <w:sz w:val="26"/>
      <w:szCs w:val="26"/>
      <w:lang w:val="es-ES"/>
    </w:rPr>
  </w:style>
  <w:style w:type="character" w:customStyle="1" w:styleId="Ttulo7Car">
    <w:name w:val="Título 7 Car"/>
    <w:basedOn w:val="Fuentedeprrafopredeter"/>
    <w:link w:val="Ttulo7"/>
    <w:rsid w:val="00E46132"/>
    <w:rPr>
      <w:rFonts w:ascii="Times New Roman" w:eastAsia="Times New Roman" w:hAnsi="Times New Roman" w:cs="Times New Roman"/>
      <w:lang w:val="es-ES"/>
    </w:rPr>
  </w:style>
  <w:style w:type="character" w:customStyle="1" w:styleId="Ttulo8Car">
    <w:name w:val="Título 8 Car"/>
    <w:basedOn w:val="Fuentedeprrafopredeter"/>
    <w:link w:val="Ttulo8"/>
    <w:rsid w:val="00E46132"/>
    <w:rPr>
      <w:rFonts w:ascii="Times New Roman" w:eastAsia="Times New Roman" w:hAnsi="Times New Roman" w:cs="Times New Roman"/>
      <w:i/>
      <w:iCs/>
      <w:lang w:val="es-ES"/>
    </w:rPr>
  </w:style>
  <w:style w:type="character" w:customStyle="1" w:styleId="Ttulo9Car">
    <w:name w:val="Título 9 Car"/>
    <w:basedOn w:val="Fuentedeprrafopredeter"/>
    <w:link w:val="Ttulo9"/>
    <w:rsid w:val="00E46132"/>
    <w:rPr>
      <w:rFonts w:ascii="Arial" w:eastAsia="Times New Roman" w:hAnsi="Arial" w:cs="Arial"/>
      <w:sz w:val="22"/>
      <w:szCs w:val="22"/>
      <w:lang w:val="es-ES"/>
    </w:rPr>
  </w:style>
  <w:style w:type="paragraph" w:styleId="Piedepgina">
    <w:name w:val="footer"/>
    <w:basedOn w:val="Normal"/>
    <w:link w:val="PiedepginaCar"/>
    <w:uiPriority w:val="99"/>
    <w:unhideWhenUsed/>
    <w:rsid w:val="00A573E3"/>
    <w:pPr>
      <w:tabs>
        <w:tab w:val="center" w:pos="4252"/>
        <w:tab w:val="right" w:pos="8504"/>
      </w:tabs>
    </w:pPr>
  </w:style>
  <w:style w:type="character" w:customStyle="1" w:styleId="PiedepginaCar">
    <w:name w:val="Pie de página Car"/>
    <w:basedOn w:val="Fuentedeprrafopredeter"/>
    <w:link w:val="Piedepgina"/>
    <w:uiPriority w:val="99"/>
    <w:rsid w:val="00A573E3"/>
  </w:style>
  <w:style w:type="character" w:styleId="Nmerodepgina">
    <w:name w:val="page number"/>
    <w:basedOn w:val="Fuentedeprrafopredeter"/>
    <w:uiPriority w:val="99"/>
    <w:semiHidden/>
    <w:unhideWhenUsed/>
    <w:rsid w:val="00A573E3"/>
  </w:style>
  <w:style w:type="paragraph" w:styleId="Encabezado">
    <w:name w:val="header"/>
    <w:basedOn w:val="Normal"/>
    <w:link w:val="EncabezadoCar"/>
    <w:uiPriority w:val="99"/>
    <w:unhideWhenUsed/>
    <w:rsid w:val="00A573E3"/>
    <w:pPr>
      <w:tabs>
        <w:tab w:val="center" w:pos="4252"/>
        <w:tab w:val="right" w:pos="8504"/>
      </w:tabs>
    </w:pPr>
  </w:style>
  <w:style w:type="character" w:customStyle="1" w:styleId="EncabezadoCar">
    <w:name w:val="Encabezado Car"/>
    <w:basedOn w:val="Fuentedeprrafopredeter"/>
    <w:link w:val="Encabezado"/>
    <w:uiPriority w:val="99"/>
    <w:rsid w:val="00A573E3"/>
  </w:style>
  <w:style w:type="paragraph" w:styleId="Textodeglobo">
    <w:name w:val="Balloon Text"/>
    <w:basedOn w:val="Normal"/>
    <w:link w:val="TextodegloboCar"/>
    <w:uiPriority w:val="99"/>
    <w:semiHidden/>
    <w:unhideWhenUsed/>
    <w:rsid w:val="00687A0A"/>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87A0A"/>
    <w:rPr>
      <w:rFonts w:ascii="Lucida Grande" w:hAnsi="Lucida Grande" w:cs="Lucida Grande"/>
      <w:sz w:val="18"/>
      <w:szCs w:val="18"/>
    </w:rPr>
  </w:style>
  <w:style w:type="paragraph" w:customStyle="1" w:styleId="Ttulodetablasyfiguras">
    <w:name w:val="Título de tablas y figuras"/>
    <w:basedOn w:val="Textoindependiente"/>
    <w:rsid w:val="000B1F52"/>
    <w:pPr>
      <w:spacing w:before="0"/>
      <w:jc w:val="center"/>
    </w:pPr>
    <w:rPr>
      <w:b/>
      <w:bCs/>
      <w:sz w:val="20"/>
      <w:lang w:val="es-ES_tradnl" w:eastAsia="es-ES_tradnl"/>
    </w:rPr>
  </w:style>
  <w:style w:type="paragraph" w:customStyle="1" w:styleId="Numeracindetablasyfiguras">
    <w:name w:val="Numeración de tablas y figuras"/>
    <w:basedOn w:val="Normal"/>
    <w:next w:val="Normal"/>
    <w:rsid w:val="000B1F52"/>
    <w:pPr>
      <w:spacing w:before="120"/>
      <w:jc w:val="center"/>
    </w:pPr>
    <w:rPr>
      <w:rFonts w:ascii="Times New Roman" w:eastAsia="Times New Roman" w:hAnsi="Times New Roman" w:cs="Times New Roman"/>
      <w:caps/>
      <w:sz w:val="20"/>
      <w:lang w:eastAsia="es-ES_tradnl"/>
    </w:rPr>
  </w:style>
  <w:style w:type="paragraph" w:customStyle="1" w:styleId="msolistparagraph0">
    <w:name w:val="msolistparagraph"/>
    <w:basedOn w:val="Normal"/>
    <w:rsid w:val="006C14F6"/>
    <w:pPr>
      <w:spacing w:after="200" w:line="276" w:lineRule="auto"/>
      <w:ind w:left="720"/>
      <w:contextualSpacing/>
    </w:pPr>
    <w:rPr>
      <w:rFonts w:ascii="Calibri" w:eastAsia="Calibri" w:hAnsi="Calibri" w:cs="Times New Roman"/>
      <w:sz w:val="22"/>
      <w:szCs w:val="22"/>
      <w:lang w:eastAsia="en-US"/>
    </w:rPr>
  </w:style>
  <w:style w:type="table" w:styleId="Tablaconcuadrcula">
    <w:name w:val="Table Grid"/>
    <w:basedOn w:val="Tablanormal"/>
    <w:uiPriority w:val="59"/>
    <w:rsid w:val="00A27D33"/>
    <w:rPr>
      <w:rFonts w:ascii="Times New Roman" w:eastAsia="Times New Roman" w:hAnsi="Times New Roman" w:cs="Times New Roman"/>
      <w:sz w:val="20"/>
      <w:szCs w:val="20"/>
      <w:lang w:val="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umeracin">
    <w:name w:val="Enumeración"/>
    <w:basedOn w:val="Textoindependiente"/>
    <w:rsid w:val="00770542"/>
    <w:pPr>
      <w:numPr>
        <w:numId w:val="5"/>
      </w:numPr>
      <w:tabs>
        <w:tab w:val="clear" w:pos="720"/>
        <w:tab w:val="num" w:pos="540"/>
      </w:tabs>
      <w:ind w:left="539" w:hanging="255"/>
    </w:pPr>
  </w:style>
  <w:style w:type="character" w:styleId="Refdecomentario">
    <w:name w:val="annotation reference"/>
    <w:basedOn w:val="Fuentedeprrafopredeter"/>
    <w:uiPriority w:val="99"/>
    <w:rsid w:val="00770542"/>
    <w:rPr>
      <w:sz w:val="16"/>
      <w:szCs w:val="16"/>
    </w:rPr>
  </w:style>
  <w:style w:type="paragraph" w:styleId="Textocomentario">
    <w:name w:val="annotation text"/>
    <w:basedOn w:val="Normal"/>
    <w:link w:val="TextocomentarioCar"/>
    <w:uiPriority w:val="99"/>
    <w:rsid w:val="00770542"/>
    <w:rPr>
      <w:rFonts w:ascii="Times New Roman" w:eastAsia="Times New Roman" w:hAnsi="Times New Roman" w:cs="Times New Roman"/>
      <w:sz w:val="20"/>
      <w:szCs w:val="20"/>
      <w:lang w:val="es-ES"/>
    </w:rPr>
  </w:style>
  <w:style w:type="character" w:customStyle="1" w:styleId="TextocomentarioCar">
    <w:name w:val="Texto comentario Car"/>
    <w:basedOn w:val="Fuentedeprrafopredeter"/>
    <w:link w:val="Textocomentario"/>
    <w:uiPriority w:val="99"/>
    <w:rsid w:val="00770542"/>
    <w:rPr>
      <w:rFonts w:ascii="Times New Roman" w:eastAsia="Times New Roman" w:hAnsi="Times New Roman" w:cs="Times New Roman"/>
      <w:sz w:val="20"/>
      <w:szCs w:val="20"/>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Textoindependiente"/>
    <w:next w:val="Textoindependiente"/>
    <w:link w:val="Ttulo1Car"/>
    <w:qFormat/>
    <w:rsid w:val="00E46132"/>
    <w:pPr>
      <w:keepNext/>
      <w:numPr>
        <w:numId w:val="3"/>
      </w:numPr>
      <w:spacing w:before="240"/>
      <w:outlineLvl w:val="0"/>
    </w:pPr>
    <w:rPr>
      <w:b/>
      <w:bCs/>
      <w:kern w:val="32"/>
      <w:sz w:val="24"/>
      <w:szCs w:val="32"/>
    </w:rPr>
  </w:style>
  <w:style w:type="paragraph" w:styleId="Ttulo2">
    <w:name w:val="heading 2"/>
    <w:basedOn w:val="Textoindependiente"/>
    <w:next w:val="Textoindependiente"/>
    <w:link w:val="Ttulo2Car"/>
    <w:qFormat/>
    <w:rsid w:val="00E46132"/>
    <w:pPr>
      <w:keepNext/>
      <w:outlineLvl w:val="1"/>
    </w:pPr>
    <w:rPr>
      <w:b/>
      <w:bCs/>
      <w:i/>
      <w:iCs/>
      <w:szCs w:val="28"/>
    </w:rPr>
  </w:style>
  <w:style w:type="paragraph" w:styleId="Ttulo3">
    <w:name w:val="heading 3"/>
    <w:basedOn w:val="Normal"/>
    <w:next w:val="Normal"/>
    <w:link w:val="Ttulo3Car"/>
    <w:qFormat/>
    <w:rsid w:val="00E46132"/>
    <w:pPr>
      <w:keepNext/>
      <w:numPr>
        <w:ilvl w:val="2"/>
        <w:numId w:val="3"/>
      </w:numPr>
      <w:spacing w:before="240" w:after="60"/>
      <w:outlineLvl w:val="2"/>
    </w:pPr>
    <w:rPr>
      <w:rFonts w:ascii="Arial" w:eastAsia="Times New Roman" w:hAnsi="Arial" w:cs="Arial"/>
      <w:b/>
      <w:bCs/>
      <w:sz w:val="26"/>
      <w:szCs w:val="26"/>
      <w:lang w:val="es-ES"/>
    </w:rPr>
  </w:style>
  <w:style w:type="paragraph" w:styleId="Ttulo4">
    <w:name w:val="heading 4"/>
    <w:basedOn w:val="Normal"/>
    <w:next w:val="Normal"/>
    <w:link w:val="Ttulo4Car"/>
    <w:qFormat/>
    <w:rsid w:val="00E46132"/>
    <w:pPr>
      <w:keepNext/>
      <w:numPr>
        <w:ilvl w:val="3"/>
        <w:numId w:val="3"/>
      </w:numPr>
      <w:spacing w:before="240" w:after="60"/>
      <w:outlineLvl w:val="3"/>
    </w:pPr>
    <w:rPr>
      <w:rFonts w:ascii="Times New Roman" w:eastAsia="Times New Roman" w:hAnsi="Times New Roman" w:cs="Times New Roman"/>
      <w:b/>
      <w:bCs/>
      <w:sz w:val="28"/>
      <w:szCs w:val="28"/>
      <w:lang w:val="es-ES"/>
    </w:rPr>
  </w:style>
  <w:style w:type="paragraph" w:styleId="Ttulo5">
    <w:name w:val="heading 5"/>
    <w:basedOn w:val="Normal"/>
    <w:next w:val="Normal"/>
    <w:link w:val="Ttulo5Car"/>
    <w:qFormat/>
    <w:rsid w:val="00E46132"/>
    <w:pPr>
      <w:numPr>
        <w:ilvl w:val="4"/>
        <w:numId w:val="3"/>
      </w:numPr>
      <w:spacing w:before="240" w:after="60"/>
      <w:outlineLvl w:val="4"/>
    </w:pPr>
    <w:rPr>
      <w:rFonts w:ascii="Times New Roman" w:eastAsia="Times New Roman" w:hAnsi="Times New Roman" w:cs="Times New Roman"/>
      <w:b/>
      <w:bCs/>
      <w:i/>
      <w:iCs/>
      <w:sz w:val="26"/>
      <w:szCs w:val="26"/>
      <w:lang w:val="es-ES"/>
    </w:rPr>
  </w:style>
  <w:style w:type="paragraph" w:styleId="Ttulo7">
    <w:name w:val="heading 7"/>
    <w:basedOn w:val="Normal"/>
    <w:next w:val="Normal"/>
    <w:link w:val="Ttulo7Car"/>
    <w:qFormat/>
    <w:rsid w:val="00E46132"/>
    <w:pPr>
      <w:numPr>
        <w:ilvl w:val="6"/>
        <w:numId w:val="3"/>
      </w:numPr>
      <w:spacing w:before="240" w:after="60"/>
      <w:outlineLvl w:val="6"/>
    </w:pPr>
    <w:rPr>
      <w:rFonts w:ascii="Times New Roman" w:eastAsia="Times New Roman" w:hAnsi="Times New Roman" w:cs="Times New Roman"/>
      <w:lang w:val="es-ES"/>
    </w:rPr>
  </w:style>
  <w:style w:type="paragraph" w:styleId="Ttulo8">
    <w:name w:val="heading 8"/>
    <w:basedOn w:val="Normal"/>
    <w:next w:val="Normal"/>
    <w:link w:val="Ttulo8Car"/>
    <w:qFormat/>
    <w:rsid w:val="00E46132"/>
    <w:pPr>
      <w:numPr>
        <w:ilvl w:val="7"/>
        <w:numId w:val="3"/>
      </w:numPr>
      <w:spacing w:before="240" w:after="60"/>
      <w:outlineLvl w:val="7"/>
    </w:pPr>
    <w:rPr>
      <w:rFonts w:ascii="Times New Roman" w:eastAsia="Times New Roman" w:hAnsi="Times New Roman" w:cs="Times New Roman"/>
      <w:i/>
      <w:iCs/>
      <w:lang w:val="es-ES"/>
    </w:rPr>
  </w:style>
  <w:style w:type="paragraph" w:styleId="Ttulo9">
    <w:name w:val="heading 9"/>
    <w:basedOn w:val="Normal"/>
    <w:next w:val="Normal"/>
    <w:link w:val="Ttulo9Car"/>
    <w:qFormat/>
    <w:rsid w:val="00E46132"/>
    <w:pPr>
      <w:numPr>
        <w:ilvl w:val="8"/>
        <w:numId w:val="3"/>
      </w:numPr>
      <w:spacing w:before="240" w:after="60"/>
      <w:outlineLvl w:val="8"/>
    </w:pPr>
    <w:rPr>
      <w:rFonts w:ascii="Arial" w:eastAsia="Times New Roman" w:hAnsi="Arial" w:cs="Arial"/>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decuerpoCar"/>
    <w:rsid w:val="00915830"/>
    <w:pPr>
      <w:spacing w:before="120" w:after="120"/>
      <w:jc w:val="both"/>
    </w:pPr>
    <w:rPr>
      <w:rFonts w:ascii="Times New Roman" w:eastAsia="Times New Roman" w:hAnsi="Times New Roman" w:cs="Times New Roman"/>
      <w:sz w:val="22"/>
      <w:lang w:val="es-ES"/>
    </w:rPr>
  </w:style>
  <w:style w:type="character" w:customStyle="1" w:styleId="TextodecuerpoCar">
    <w:name w:val="Texto de cuerpo Car"/>
    <w:basedOn w:val="Fuentedeprrafopredeter"/>
    <w:link w:val="Textoindependiente"/>
    <w:rsid w:val="00915830"/>
    <w:rPr>
      <w:rFonts w:ascii="Times New Roman" w:eastAsia="Times New Roman" w:hAnsi="Times New Roman" w:cs="Times New Roman"/>
      <w:sz w:val="22"/>
      <w:lang w:val="es-ES"/>
    </w:rPr>
  </w:style>
  <w:style w:type="paragraph" w:styleId="Textonotapie">
    <w:name w:val="footnote text"/>
    <w:basedOn w:val="Normal"/>
    <w:link w:val="TextonotapieCar"/>
    <w:semiHidden/>
    <w:rsid w:val="00234504"/>
    <w:pPr>
      <w:ind w:left="360" w:hanging="360"/>
    </w:pPr>
    <w:rPr>
      <w:rFonts w:ascii="Times New Roman" w:eastAsia="Times New Roman" w:hAnsi="Times New Roman" w:cs="Times New Roman"/>
      <w:sz w:val="18"/>
      <w:szCs w:val="20"/>
      <w:lang w:val="es-ES"/>
    </w:rPr>
  </w:style>
  <w:style w:type="character" w:customStyle="1" w:styleId="TextonotapieCar">
    <w:name w:val="Texto nota pie Car"/>
    <w:basedOn w:val="Fuentedeprrafopredeter"/>
    <w:link w:val="Textonotapie"/>
    <w:uiPriority w:val="99"/>
    <w:semiHidden/>
    <w:rsid w:val="00234504"/>
    <w:rPr>
      <w:rFonts w:ascii="Times New Roman" w:eastAsia="Times New Roman" w:hAnsi="Times New Roman" w:cs="Times New Roman"/>
      <w:sz w:val="18"/>
      <w:szCs w:val="20"/>
      <w:lang w:val="es-ES"/>
    </w:rPr>
  </w:style>
  <w:style w:type="character" w:styleId="Refdenotaalpie">
    <w:name w:val="footnote reference"/>
    <w:basedOn w:val="Fuentedeprrafopredeter"/>
    <w:semiHidden/>
    <w:rsid w:val="00234504"/>
    <w:rPr>
      <w:vertAlign w:val="superscript"/>
    </w:rPr>
  </w:style>
  <w:style w:type="paragraph" w:styleId="Prrafodelista">
    <w:name w:val="List Paragraph"/>
    <w:basedOn w:val="Normal"/>
    <w:uiPriority w:val="34"/>
    <w:qFormat/>
    <w:rsid w:val="00234504"/>
    <w:pPr>
      <w:spacing w:after="200" w:line="276" w:lineRule="auto"/>
      <w:ind w:left="720"/>
      <w:contextualSpacing/>
    </w:pPr>
    <w:rPr>
      <w:rFonts w:ascii="Calibri" w:eastAsia="Calibri" w:hAnsi="Calibri" w:cs="Times New Roman"/>
      <w:sz w:val="22"/>
      <w:szCs w:val="22"/>
      <w:lang w:eastAsia="en-US"/>
    </w:rPr>
  </w:style>
  <w:style w:type="character" w:styleId="Hipervnculo">
    <w:name w:val="Hyperlink"/>
    <w:basedOn w:val="Fuentedeprrafopredeter"/>
    <w:uiPriority w:val="99"/>
    <w:unhideWhenUsed/>
    <w:rsid w:val="005D1126"/>
    <w:rPr>
      <w:color w:val="0000FF" w:themeColor="hyperlink"/>
      <w:u w:val="single"/>
    </w:rPr>
  </w:style>
  <w:style w:type="character" w:customStyle="1" w:styleId="Ttulo1Car">
    <w:name w:val="Título 1 Car"/>
    <w:basedOn w:val="Fuentedeprrafopredeter"/>
    <w:link w:val="Ttulo1"/>
    <w:rsid w:val="00E46132"/>
    <w:rPr>
      <w:rFonts w:ascii="Times New Roman" w:eastAsia="Times New Roman" w:hAnsi="Times New Roman" w:cs="Times New Roman"/>
      <w:b/>
      <w:bCs/>
      <w:kern w:val="32"/>
      <w:szCs w:val="32"/>
      <w:lang w:val="es-ES"/>
    </w:rPr>
  </w:style>
  <w:style w:type="character" w:customStyle="1" w:styleId="Ttulo2Car">
    <w:name w:val="Título 2 Car"/>
    <w:basedOn w:val="Fuentedeprrafopredeter"/>
    <w:link w:val="Ttulo2"/>
    <w:rsid w:val="00E46132"/>
    <w:rPr>
      <w:rFonts w:ascii="Times New Roman" w:eastAsia="Times New Roman" w:hAnsi="Times New Roman" w:cs="Times New Roman"/>
      <w:b/>
      <w:bCs/>
      <w:i/>
      <w:iCs/>
      <w:sz w:val="22"/>
      <w:szCs w:val="28"/>
      <w:lang w:val="es-ES"/>
    </w:rPr>
  </w:style>
  <w:style w:type="character" w:customStyle="1" w:styleId="Ttulo3Car">
    <w:name w:val="Título 3 Car"/>
    <w:basedOn w:val="Fuentedeprrafopredeter"/>
    <w:link w:val="Ttulo3"/>
    <w:rsid w:val="00E46132"/>
    <w:rPr>
      <w:rFonts w:ascii="Arial" w:eastAsia="Times New Roman" w:hAnsi="Arial" w:cs="Arial"/>
      <w:b/>
      <w:bCs/>
      <w:sz w:val="26"/>
      <w:szCs w:val="26"/>
      <w:lang w:val="es-ES"/>
    </w:rPr>
  </w:style>
  <w:style w:type="character" w:customStyle="1" w:styleId="Ttulo4Car">
    <w:name w:val="Título 4 Car"/>
    <w:basedOn w:val="Fuentedeprrafopredeter"/>
    <w:link w:val="Ttulo4"/>
    <w:rsid w:val="00E46132"/>
    <w:rPr>
      <w:rFonts w:ascii="Times New Roman" w:eastAsia="Times New Roman" w:hAnsi="Times New Roman" w:cs="Times New Roman"/>
      <w:b/>
      <w:bCs/>
      <w:sz w:val="28"/>
      <w:szCs w:val="28"/>
      <w:lang w:val="es-ES"/>
    </w:rPr>
  </w:style>
  <w:style w:type="character" w:customStyle="1" w:styleId="Ttulo5Car">
    <w:name w:val="Título 5 Car"/>
    <w:basedOn w:val="Fuentedeprrafopredeter"/>
    <w:link w:val="Ttulo5"/>
    <w:rsid w:val="00E46132"/>
    <w:rPr>
      <w:rFonts w:ascii="Times New Roman" w:eastAsia="Times New Roman" w:hAnsi="Times New Roman" w:cs="Times New Roman"/>
      <w:b/>
      <w:bCs/>
      <w:i/>
      <w:iCs/>
      <w:sz w:val="26"/>
      <w:szCs w:val="26"/>
      <w:lang w:val="es-ES"/>
    </w:rPr>
  </w:style>
  <w:style w:type="character" w:customStyle="1" w:styleId="Ttulo7Car">
    <w:name w:val="Título 7 Car"/>
    <w:basedOn w:val="Fuentedeprrafopredeter"/>
    <w:link w:val="Ttulo7"/>
    <w:rsid w:val="00E46132"/>
    <w:rPr>
      <w:rFonts w:ascii="Times New Roman" w:eastAsia="Times New Roman" w:hAnsi="Times New Roman" w:cs="Times New Roman"/>
      <w:lang w:val="es-ES"/>
    </w:rPr>
  </w:style>
  <w:style w:type="character" w:customStyle="1" w:styleId="Ttulo8Car">
    <w:name w:val="Título 8 Car"/>
    <w:basedOn w:val="Fuentedeprrafopredeter"/>
    <w:link w:val="Ttulo8"/>
    <w:rsid w:val="00E46132"/>
    <w:rPr>
      <w:rFonts w:ascii="Times New Roman" w:eastAsia="Times New Roman" w:hAnsi="Times New Roman" w:cs="Times New Roman"/>
      <w:i/>
      <w:iCs/>
      <w:lang w:val="es-ES"/>
    </w:rPr>
  </w:style>
  <w:style w:type="character" w:customStyle="1" w:styleId="Ttulo9Car">
    <w:name w:val="Título 9 Car"/>
    <w:basedOn w:val="Fuentedeprrafopredeter"/>
    <w:link w:val="Ttulo9"/>
    <w:rsid w:val="00E46132"/>
    <w:rPr>
      <w:rFonts w:ascii="Arial" w:eastAsia="Times New Roman" w:hAnsi="Arial" w:cs="Arial"/>
      <w:sz w:val="22"/>
      <w:szCs w:val="22"/>
      <w:lang w:val="es-ES"/>
    </w:rPr>
  </w:style>
  <w:style w:type="paragraph" w:styleId="Piedepgina">
    <w:name w:val="footer"/>
    <w:basedOn w:val="Normal"/>
    <w:link w:val="PiedepginaCar"/>
    <w:uiPriority w:val="99"/>
    <w:unhideWhenUsed/>
    <w:rsid w:val="00A573E3"/>
    <w:pPr>
      <w:tabs>
        <w:tab w:val="center" w:pos="4252"/>
        <w:tab w:val="right" w:pos="8504"/>
      </w:tabs>
    </w:pPr>
  </w:style>
  <w:style w:type="character" w:customStyle="1" w:styleId="PiedepginaCar">
    <w:name w:val="Pie de página Car"/>
    <w:basedOn w:val="Fuentedeprrafopredeter"/>
    <w:link w:val="Piedepgina"/>
    <w:uiPriority w:val="99"/>
    <w:rsid w:val="00A573E3"/>
  </w:style>
  <w:style w:type="character" w:styleId="Nmerodepgina">
    <w:name w:val="page number"/>
    <w:basedOn w:val="Fuentedeprrafopredeter"/>
    <w:uiPriority w:val="99"/>
    <w:semiHidden/>
    <w:unhideWhenUsed/>
    <w:rsid w:val="00A573E3"/>
  </w:style>
  <w:style w:type="paragraph" w:styleId="Encabezado">
    <w:name w:val="header"/>
    <w:basedOn w:val="Normal"/>
    <w:link w:val="EncabezadoCar"/>
    <w:uiPriority w:val="99"/>
    <w:unhideWhenUsed/>
    <w:rsid w:val="00A573E3"/>
    <w:pPr>
      <w:tabs>
        <w:tab w:val="center" w:pos="4252"/>
        <w:tab w:val="right" w:pos="8504"/>
      </w:tabs>
    </w:pPr>
  </w:style>
  <w:style w:type="character" w:customStyle="1" w:styleId="EncabezadoCar">
    <w:name w:val="Encabezado Car"/>
    <w:basedOn w:val="Fuentedeprrafopredeter"/>
    <w:link w:val="Encabezado"/>
    <w:uiPriority w:val="99"/>
    <w:rsid w:val="00A573E3"/>
  </w:style>
  <w:style w:type="paragraph" w:styleId="Textodeglobo">
    <w:name w:val="Balloon Text"/>
    <w:basedOn w:val="Normal"/>
    <w:link w:val="TextodegloboCar"/>
    <w:uiPriority w:val="99"/>
    <w:semiHidden/>
    <w:unhideWhenUsed/>
    <w:rsid w:val="00687A0A"/>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87A0A"/>
    <w:rPr>
      <w:rFonts w:ascii="Lucida Grande" w:hAnsi="Lucida Grande" w:cs="Lucida Grande"/>
      <w:sz w:val="18"/>
      <w:szCs w:val="18"/>
    </w:rPr>
  </w:style>
  <w:style w:type="paragraph" w:customStyle="1" w:styleId="Ttulodetablasyfiguras">
    <w:name w:val="Título de tablas y figuras"/>
    <w:basedOn w:val="Textoindependiente"/>
    <w:rsid w:val="000B1F52"/>
    <w:pPr>
      <w:spacing w:before="0"/>
      <w:jc w:val="center"/>
    </w:pPr>
    <w:rPr>
      <w:b/>
      <w:bCs/>
      <w:sz w:val="20"/>
      <w:lang w:val="es-ES_tradnl" w:eastAsia="es-ES_tradnl"/>
    </w:rPr>
  </w:style>
  <w:style w:type="paragraph" w:customStyle="1" w:styleId="Numeracindetablasyfiguras">
    <w:name w:val="Numeración de tablas y figuras"/>
    <w:basedOn w:val="Normal"/>
    <w:next w:val="Normal"/>
    <w:rsid w:val="000B1F52"/>
    <w:pPr>
      <w:spacing w:before="120"/>
      <w:jc w:val="center"/>
    </w:pPr>
    <w:rPr>
      <w:rFonts w:ascii="Times New Roman" w:eastAsia="Times New Roman" w:hAnsi="Times New Roman" w:cs="Times New Roman"/>
      <w:caps/>
      <w:sz w:val="20"/>
      <w:lang w:eastAsia="es-ES_tradnl"/>
    </w:rPr>
  </w:style>
  <w:style w:type="paragraph" w:customStyle="1" w:styleId="msolistparagraph0">
    <w:name w:val="msolistparagraph"/>
    <w:basedOn w:val="Normal"/>
    <w:rsid w:val="006C14F6"/>
    <w:pPr>
      <w:spacing w:after="200" w:line="276" w:lineRule="auto"/>
      <w:ind w:left="720"/>
      <w:contextualSpacing/>
    </w:pPr>
    <w:rPr>
      <w:rFonts w:ascii="Calibri" w:eastAsia="Calibri" w:hAnsi="Calibri" w:cs="Times New Roman"/>
      <w:sz w:val="22"/>
      <w:szCs w:val="22"/>
      <w:lang w:eastAsia="en-US"/>
    </w:rPr>
  </w:style>
  <w:style w:type="table" w:styleId="Tablaconcuadrcula">
    <w:name w:val="Table Grid"/>
    <w:basedOn w:val="Tablanormal"/>
    <w:uiPriority w:val="59"/>
    <w:rsid w:val="00A27D33"/>
    <w:rPr>
      <w:rFonts w:ascii="Times New Roman" w:eastAsia="Times New Roman" w:hAnsi="Times New Roman" w:cs="Times New Roman"/>
      <w:sz w:val="20"/>
      <w:szCs w:val="20"/>
      <w:lang w:val="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umeracin">
    <w:name w:val="Enumeración"/>
    <w:basedOn w:val="Textoindependiente"/>
    <w:rsid w:val="00770542"/>
    <w:pPr>
      <w:numPr>
        <w:numId w:val="5"/>
      </w:numPr>
      <w:tabs>
        <w:tab w:val="clear" w:pos="720"/>
        <w:tab w:val="num" w:pos="540"/>
      </w:tabs>
      <w:ind w:left="539" w:hanging="255"/>
    </w:pPr>
  </w:style>
  <w:style w:type="character" w:styleId="Refdecomentario">
    <w:name w:val="annotation reference"/>
    <w:basedOn w:val="Fuentedeprrafopredeter"/>
    <w:uiPriority w:val="99"/>
    <w:rsid w:val="00770542"/>
    <w:rPr>
      <w:sz w:val="16"/>
      <w:szCs w:val="16"/>
    </w:rPr>
  </w:style>
  <w:style w:type="paragraph" w:styleId="Textocomentario">
    <w:name w:val="annotation text"/>
    <w:basedOn w:val="Normal"/>
    <w:link w:val="TextocomentarioCar"/>
    <w:uiPriority w:val="99"/>
    <w:rsid w:val="00770542"/>
    <w:rPr>
      <w:rFonts w:ascii="Times New Roman" w:eastAsia="Times New Roman" w:hAnsi="Times New Roman" w:cs="Times New Roman"/>
      <w:sz w:val="20"/>
      <w:szCs w:val="20"/>
      <w:lang w:val="es-ES"/>
    </w:rPr>
  </w:style>
  <w:style w:type="character" w:customStyle="1" w:styleId="TextocomentarioCar">
    <w:name w:val="Texto comentario Car"/>
    <w:basedOn w:val="Fuentedeprrafopredeter"/>
    <w:link w:val="Textocomentario"/>
    <w:uiPriority w:val="99"/>
    <w:rsid w:val="00770542"/>
    <w:rPr>
      <w:rFonts w:ascii="Times New Roman" w:eastAsia="Times New Roman" w:hAnsi="Times New Roman" w:cs="Times New Roman"/>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mateos@cegea.upv.es"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nalade@cegea.upv.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7934</Words>
  <Characters>43641</Characters>
  <Application>Microsoft Office Word</Application>
  <DocSecurity>0</DocSecurity>
  <Lines>363</Lines>
  <Paragraphs>102</Paragraphs>
  <ScaleCrop>false</ScaleCrop>
  <HeadingPairs>
    <vt:vector size="2" baseType="variant">
      <vt:variant>
        <vt:lpstr>Título</vt:lpstr>
      </vt:variant>
      <vt:variant>
        <vt:i4>1</vt:i4>
      </vt:variant>
    </vt:vector>
  </HeadingPairs>
  <TitlesOfParts>
    <vt:vector size="1" baseType="lpstr">
      <vt:lpstr/>
    </vt:vector>
  </TitlesOfParts>
  <Company>UPV</Company>
  <LinksUpToDate>false</LinksUpToDate>
  <CharactersWithSpaces>51473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Alicia Mateos</dc:creator>
  <cp:lastModifiedBy>sazgil</cp:lastModifiedBy>
  <cp:revision>2</cp:revision>
  <dcterms:created xsi:type="dcterms:W3CDTF">2014-05-02T13:35:00Z</dcterms:created>
  <dcterms:modified xsi:type="dcterms:W3CDTF">2014-05-02T13:35:00Z</dcterms:modified>
</cp:coreProperties>
</file>